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EE" w:rsidRDefault="00CE1EEE" w:rsidP="00ED428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北京海鑫资产管理有限公司</w:t>
      </w:r>
      <w:r w:rsidRPr="009C5B12">
        <w:rPr>
          <w:rFonts w:asciiTheme="minorEastAsia" w:hAnsiTheme="minorEastAsia" w:hint="eastAsia"/>
          <w:b/>
          <w:sz w:val="32"/>
          <w:szCs w:val="32"/>
        </w:rPr>
        <w:t>“法拍通”产品</w:t>
      </w:r>
    </w:p>
    <w:p w:rsidR="0027468D" w:rsidRPr="009C5B12" w:rsidRDefault="00CE1EEE" w:rsidP="00ED428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461B7F">
        <w:rPr>
          <w:rFonts w:asciiTheme="minorEastAsia" w:hAnsiTheme="minorEastAsia" w:hint="eastAsia"/>
          <w:b/>
          <w:sz w:val="32"/>
          <w:szCs w:val="32"/>
        </w:rPr>
        <w:t>十</w:t>
      </w:r>
      <w:r w:rsidR="00797D4B">
        <w:rPr>
          <w:rFonts w:asciiTheme="minorEastAsia" w:hAnsiTheme="minorEastAsia" w:hint="eastAsia"/>
          <w:b/>
          <w:sz w:val="32"/>
          <w:szCs w:val="32"/>
        </w:rPr>
        <w:t>六</w:t>
      </w:r>
      <w:r w:rsidR="005F43E1">
        <w:rPr>
          <w:rFonts w:asciiTheme="minorEastAsia" w:hAnsiTheme="minorEastAsia" w:hint="eastAsia"/>
          <w:b/>
          <w:sz w:val="32"/>
          <w:szCs w:val="32"/>
        </w:rPr>
        <w:t>期</w:t>
      </w:r>
      <w:r>
        <w:rPr>
          <w:rFonts w:asciiTheme="minorEastAsia" w:hAnsiTheme="minorEastAsia" w:hint="eastAsia"/>
          <w:b/>
          <w:sz w:val="32"/>
          <w:szCs w:val="32"/>
        </w:rPr>
        <w:t>拍卖房产来袭！</w:t>
      </w:r>
    </w:p>
    <w:p w:rsidR="00DB6B95" w:rsidRDefault="00DB6B95" w:rsidP="006D2B2C">
      <w:pPr>
        <w:pStyle w:val="a8"/>
        <w:spacing w:line="276" w:lineRule="auto"/>
        <w:ind w:firstLineChars="0" w:firstLine="0"/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hint="eastAsia"/>
          <w:b/>
          <w:color w:val="000000"/>
          <w:sz w:val="21"/>
          <w:szCs w:val="21"/>
        </w:rPr>
        <w:t>产品介绍</w:t>
      </w:r>
    </w:p>
    <w:p w:rsidR="00DB6B95" w:rsidRPr="00DB6B95" w:rsidRDefault="00DB6B95" w:rsidP="006D2B2C">
      <w:pPr>
        <w:spacing w:line="276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color w:val="000000"/>
          <w:szCs w:val="21"/>
        </w:rPr>
        <w:t xml:space="preserve">    “</w:t>
      </w:r>
      <w:r w:rsidRPr="00902D7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法拍通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”是北京海鑫资产管理公司</w:t>
      </w:r>
      <w:r w:rsidR="00F5118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联合北京产权交易所、北京银行中关村分行</w:t>
      </w:r>
      <w:r w:rsidR="001A09B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、建设银行北京分行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推出的一款</w:t>
      </w:r>
      <w:r w:rsidR="00F5118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法院</w:t>
      </w:r>
      <w:r w:rsidR="00F5118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诉讼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房产</w:t>
      </w:r>
      <w:r w:rsidR="009A61B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购买人提供融资的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产品</w:t>
      </w:r>
      <w:r w:rsidRPr="00902D7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EA0080" w:rsidRPr="009C5B12" w:rsidRDefault="00EA0080" w:rsidP="006D2B2C">
      <w:pPr>
        <w:pStyle w:val="a8"/>
        <w:spacing w:line="276" w:lineRule="auto"/>
        <w:ind w:firstLineChars="0" w:firstLine="0"/>
        <w:rPr>
          <w:rFonts w:ascii="宋体" w:hAnsi="宋体"/>
          <w:b/>
          <w:color w:val="000000"/>
          <w:sz w:val="21"/>
          <w:szCs w:val="21"/>
        </w:rPr>
      </w:pPr>
      <w:r w:rsidRPr="009C5B12">
        <w:rPr>
          <w:rFonts w:ascii="宋体" w:hAnsi="宋体" w:hint="eastAsia"/>
          <w:b/>
          <w:color w:val="000000"/>
          <w:sz w:val="21"/>
          <w:szCs w:val="21"/>
        </w:rPr>
        <w:t>申请贷款需要准备资料</w:t>
      </w:r>
    </w:p>
    <w:p w:rsidR="00EA0080" w:rsidRPr="009C5B12" w:rsidRDefault="00EA0080" w:rsidP="006D2B2C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9C5B12">
        <w:rPr>
          <w:rFonts w:ascii="宋体" w:hAnsi="宋体" w:hint="eastAsia"/>
          <w:color w:val="000000"/>
          <w:szCs w:val="21"/>
        </w:rPr>
        <w:t>1、借款人有效身份证、户口本、婚姻证明，如已婚者需提供夫妻双方资料；</w:t>
      </w:r>
    </w:p>
    <w:p w:rsidR="00EA0080" w:rsidRPr="009C5B12" w:rsidRDefault="00EA0080" w:rsidP="006D2B2C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9C5B12">
        <w:rPr>
          <w:rFonts w:ascii="宋体" w:hAnsi="宋体" w:hint="eastAsia"/>
          <w:color w:val="000000"/>
          <w:szCs w:val="21"/>
        </w:rPr>
        <w:t>2、收入证明、其他收入或资产证明、如已婚者需提供夫妻双方资料；</w:t>
      </w:r>
    </w:p>
    <w:p w:rsidR="00EA0080" w:rsidRPr="009C5B12" w:rsidRDefault="00EA0080" w:rsidP="006D2B2C">
      <w:pPr>
        <w:spacing w:line="276" w:lineRule="auto"/>
        <w:ind w:firstLineChars="200" w:firstLine="420"/>
        <w:rPr>
          <w:rFonts w:ascii="宋体" w:hAnsi="宋体"/>
          <w:color w:val="000000"/>
          <w:szCs w:val="21"/>
        </w:rPr>
      </w:pPr>
      <w:r w:rsidRPr="009C5B12">
        <w:rPr>
          <w:rFonts w:ascii="宋体" w:hAnsi="宋体" w:hint="eastAsia"/>
          <w:color w:val="000000"/>
          <w:szCs w:val="21"/>
        </w:rPr>
        <w:t>3、竞买人报名凭证（竞买人须知和竞买协议）、成交确认书（后补）</w:t>
      </w:r>
    </w:p>
    <w:p w:rsidR="00EA0080" w:rsidRPr="009C5B12" w:rsidRDefault="007E2E29" w:rsidP="006D2B2C">
      <w:pPr>
        <w:pStyle w:val="a8"/>
        <w:spacing w:line="276" w:lineRule="auto"/>
        <w:ind w:firstLineChars="0" w:firstLine="0"/>
        <w:rPr>
          <w:rFonts w:ascii="宋体" w:hAnsi="宋体"/>
          <w:b/>
          <w:color w:val="000000"/>
          <w:sz w:val="21"/>
          <w:szCs w:val="21"/>
        </w:rPr>
      </w:pPr>
      <w:r w:rsidRPr="009C5B12">
        <w:rPr>
          <w:rFonts w:ascii="宋体" w:hAnsi="宋体" w:hint="eastAsia"/>
          <w:b/>
          <w:color w:val="000000"/>
          <w:sz w:val="21"/>
          <w:szCs w:val="21"/>
        </w:rPr>
        <w:t>业务操作及</w:t>
      </w:r>
      <w:r w:rsidR="001176CB" w:rsidRPr="009C5B12">
        <w:rPr>
          <w:rFonts w:ascii="宋体" w:hAnsi="宋体" w:hint="eastAsia"/>
          <w:b/>
          <w:color w:val="000000"/>
          <w:sz w:val="21"/>
          <w:szCs w:val="21"/>
        </w:rPr>
        <w:t>竞拍流程</w:t>
      </w:r>
    </w:p>
    <w:p w:rsidR="00CB37EF" w:rsidRPr="00CB37EF" w:rsidRDefault="00182AE5" w:rsidP="00EA0080">
      <w:pPr>
        <w:pStyle w:val="a8"/>
        <w:spacing w:line="360" w:lineRule="auto"/>
        <w:ind w:firstLineChars="0" w:firstLine="0"/>
        <w:rPr>
          <w:rFonts w:ascii="宋体" w:hAnsi="宋体"/>
          <w:b/>
          <w:color w:val="000000"/>
          <w:szCs w:val="28"/>
        </w:rPr>
      </w:pPr>
      <w:r>
        <w:rPr>
          <w:rFonts w:ascii="宋体" w:hAnsi="宋体"/>
          <w:b/>
          <w:color w:val="000000"/>
          <w:szCs w:val="28"/>
        </w:rPr>
      </w:r>
      <w:r>
        <w:rPr>
          <w:rFonts w:ascii="宋体" w:hAnsi="宋体"/>
          <w:b/>
          <w:color w:val="000000"/>
          <w:szCs w:val="28"/>
        </w:rPr>
        <w:pict>
          <v:group id="_x0000_s1029" editas="canvas" style="width:406.65pt;height:297.2pt;mso-position-horizontal-relative:char;mso-position-vertical-relative:line" coordorigin="1797,6120" coordsize="8133,59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97;top:6120;width:8133;height:5944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2880;top:7035;width:1;height:340" o:connectortype="straight" strokecolor="#4f81bd [3204]" strokeweight="1.75pt">
              <v:stroke endarrow="block"/>
            </v:shape>
            <v:roundrect id="_x0000_s1031" style="position:absolute;left:1860;top:6120;width:2025;height:850;v-text-anchor:middle" arcsize="10923f" fillcolor="#8db3e2 [1311]" stroked="f" strokecolor="#e5b8b7 [1301]">
              <v:fill color2="#dce6f2" angle="-135" focusposition=".5,.5" focussize="" type="gradient"/>
              <v:shadow on="t" opacity=".5" offset="4pt,4pt" offset2="4pt,4pt"/>
              <v:textbox style="mso-next-textbox:#_x0000_s1031">
                <w:txbxContent>
                  <w:p w:rsidR="00CB37EF" w:rsidRPr="00A23FE3" w:rsidRDefault="00CB37EF" w:rsidP="00CB37EF">
                    <w:pPr>
                      <w:jc w:val="center"/>
                      <w:rPr>
                        <w:b/>
                      </w:rPr>
                    </w:pPr>
                    <w:r w:rsidRPr="00A23FE3">
                      <w:rPr>
                        <w:rFonts w:hint="eastAsia"/>
                        <w:b/>
                      </w:rPr>
                      <w:t>报名及预审核</w:t>
                    </w:r>
                  </w:p>
                </w:txbxContent>
              </v:textbox>
            </v:roundrect>
            <v:roundrect id="_x0000_s1032" style="position:absolute;left:1860;top:7407;width:2025;height:850;v-text-anchor:middle" arcsize="10923f" fillcolor="#8db3e2 [1311]" stroked="f" strokecolor="#e5b8b7 [1301]">
              <v:fill color2="#dce6f2" angle="-135" focusposition=".5,.5" focussize="" type="gradient"/>
              <v:shadow on="t" opacity=".5" offset="4pt,4pt" offset2="4pt,4pt"/>
              <v:textbox style="mso-next-textbox:#_x0000_s1032">
                <w:txbxContent>
                  <w:p w:rsidR="00A23FE3" w:rsidRPr="00A23FE3" w:rsidRDefault="00A23FE3" w:rsidP="00CB37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竞拍</w:t>
                    </w:r>
                  </w:p>
                </w:txbxContent>
              </v:textbox>
            </v:roundrect>
            <v:roundrect id="_x0000_s1033" style="position:absolute;left:1890;top:8711;width:2025;height:850;v-text-anchor:middle" arcsize="10923f" fillcolor="#8db3e2 [1311]" stroked="f" strokecolor="#e5b8b7 [1301]">
              <v:fill color2="#dce6f2" angle="-135" focusposition=".5,.5" focussize="" type="gradient"/>
              <v:shadow on="t" opacity=".5" offset="4pt,4pt" offset2="4pt,4pt"/>
              <v:textbox style="mso-next-textbox:#_x0000_s1033">
                <w:txbxContent>
                  <w:p w:rsidR="00BD6E71" w:rsidRPr="00A23FE3" w:rsidRDefault="00BD6E71" w:rsidP="00BD6E7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支付保证金及首付款</w:t>
                    </w:r>
                  </w:p>
                  <w:p w:rsidR="00BD6E71" w:rsidRPr="00BD6E71" w:rsidRDefault="00BD6E71" w:rsidP="00BD6E71"/>
                </w:txbxContent>
              </v:textbox>
            </v:roundrect>
            <v:roundrect id="_x0000_s1034" style="position:absolute;left:1905;top:9955;width:2025;height:850;v-text-anchor:middle" arcsize="10923f" fillcolor="#8db3e2 [1311]" stroked="f" strokecolor="#e5b8b7 [1301]">
              <v:fill color2="#dce6f2" angle="-135" focusposition=".5,.5" focussize="" type="gradient"/>
              <v:shadow on="t" opacity=".5" offset="4pt,4pt" offset2="4pt,4pt"/>
              <v:textbox style="mso-next-textbox:#_x0000_s1034">
                <w:txbxContent>
                  <w:p w:rsidR="00BD6E71" w:rsidRPr="00A23FE3" w:rsidRDefault="008F75EC" w:rsidP="00CB37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签署合同并支付尾款</w:t>
                    </w:r>
                  </w:p>
                </w:txbxContent>
              </v:textbox>
            </v:roundrect>
            <v:shape id="_x0000_s1035" type="#_x0000_t32" style="position:absolute;left:2881;top:8377;width:1;height:340" o:connectortype="straight" strokecolor="#4f81bd [3204]" strokeweight="1.75pt">
              <v:stroke endarrow="block"/>
            </v:shape>
            <v:shape id="_x0000_s1036" type="#_x0000_t32" style="position:absolute;left:2878;top:9621;width:1;height:340" o:connectortype="straight" strokecolor="#4f81bd [3204]" strokeweight="1.75pt">
              <v:stroke endarrow="block"/>
            </v:shape>
            <v:roundrect id="_x0000_s1037" style="position:absolute;left:1935;top:11214;width:2025;height:850;v-text-anchor:middle" arcsize="10923f" fillcolor="#8db3e2 [1311]" stroked="f" strokecolor="#e5b8b7 [1301]">
              <v:fill color2="#dce6f2" angle="-135" focusposition=".5,.5" focussize="" type="gradient"/>
              <v:shadow on="t" opacity=".5" offset="4pt,4pt" offset2="4pt,4pt"/>
              <v:textbox style="mso-next-textbox:#_x0000_s1037">
                <w:txbxContent>
                  <w:p w:rsidR="00BD6E71" w:rsidRPr="00A23FE3" w:rsidRDefault="008F75EC" w:rsidP="00CB37E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房产过户</w:t>
                    </w:r>
                    <w:r w:rsidR="009C5B12">
                      <w:rPr>
                        <w:rFonts w:hint="eastAsia"/>
                        <w:b/>
                      </w:rPr>
                      <w:t>及</w:t>
                    </w:r>
                    <w:r>
                      <w:rPr>
                        <w:rFonts w:hint="eastAsia"/>
                        <w:b/>
                      </w:rPr>
                      <w:t>办理银行按揭贷款</w:t>
                    </w:r>
                  </w:p>
                </w:txbxContent>
              </v:textbox>
            </v:roundrect>
            <v:shape id="_x0000_s1038" type="#_x0000_t32" style="position:absolute;left:2883;top:10850;width:1;height:340" o:connectortype="straight" strokecolor="#4f81bd [3204]" strokeweight="1.75pt">
              <v:stroke endarrow="block"/>
            </v:shape>
            <v:roundrect id="_x0000_s1039" style="position:absolute;left:4425;top:6120;width:5355;height:1134" arcsize="10923f" fillcolor="none" stroked="f" strokecolor="#e5b8b7 [1301]">
              <v:fill color2="#dce6f2" angle="-135" type="gradient"/>
              <v:shadow opacity=".5" offset="4pt,4pt" offset2="4pt,4pt"/>
              <v:textbox style="mso-next-textbox:#_x0000_s1039">
                <w:txbxContent>
                  <w:p w:rsidR="008F75EC" w:rsidRPr="001A09BB" w:rsidRDefault="008F75EC" w:rsidP="008F75EC">
                    <w:pPr>
                      <w:jc w:val="left"/>
                      <w:rPr>
                        <w:sz w:val="18"/>
                        <w:szCs w:val="18"/>
                      </w:rPr>
                    </w:pPr>
                    <w:r w:rsidRPr="001A09BB">
                      <w:rPr>
                        <w:rFonts w:hint="eastAsia"/>
                        <w:sz w:val="18"/>
                        <w:szCs w:val="18"/>
                      </w:rPr>
                      <w:t>北交所受理竞拍者报名工作后，介绍竞拍者与北京银行、</w:t>
                    </w:r>
                    <w:r w:rsidR="0005321C" w:rsidRPr="001A09BB">
                      <w:rPr>
                        <w:rFonts w:hint="eastAsia"/>
                        <w:sz w:val="18"/>
                        <w:szCs w:val="18"/>
                      </w:rPr>
                      <w:t>建设银行、</w:t>
                    </w:r>
                    <w:r w:rsidRPr="001A09BB">
                      <w:rPr>
                        <w:rFonts w:hint="eastAsia"/>
                        <w:sz w:val="18"/>
                        <w:szCs w:val="18"/>
                      </w:rPr>
                      <w:t>海鑫资产公司联系后续融资事宜；北京银行、</w:t>
                    </w:r>
                    <w:r w:rsidR="0005321C" w:rsidRPr="001A09BB">
                      <w:rPr>
                        <w:rFonts w:hint="eastAsia"/>
                        <w:sz w:val="18"/>
                        <w:szCs w:val="18"/>
                      </w:rPr>
                      <w:t>建设银行、</w:t>
                    </w:r>
                    <w:r w:rsidRPr="001A09BB">
                      <w:rPr>
                        <w:rFonts w:hint="eastAsia"/>
                        <w:sz w:val="18"/>
                        <w:szCs w:val="18"/>
                      </w:rPr>
                      <w:t>海鑫资产对竞拍者进行预审核工作</w:t>
                    </w:r>
                  </w:p>
                </w:txbxContent>
              </v:textbox>
            </v:roundrect>
            <v:roundrect id="_x0000_s1040" style="position:absolute;left:4425;top:7448;width:5355;height:964" arcsize="10923f" fillcolor="none" stroked="f" strokecolor="#e5b8b7 [1301]">
              <v:fill color2="#dce6f2" angle="-135" type="gradient"/>
              <v:shadow opacity=".5" offset="4pt,4pt" offset2="4pt,4pt"/>
              <v:textbox style="mso-next-textbox:#_x0000_s1040">
                <w:txbxContent>
                  <w:p w:rsidR="008F75EC" w:rsidRPr="008F75EC" w:rsidRDefault="008F75EC" w:rsidP="008F75EC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法院指定拍卖公司组织拍卖，竞拍者拍卖成功后，领取拍卖成交确认书并交予海鑫资产公司</w:t>
                    </w:r>
                  </w:p>
                </w:txbxContent>
              </v:textbox>
            </v:roundrect>
            <v:roundrect id="_x0000_s1041" style="position:absolute;left:4470;top:8738;width:5355;height:808" arcsize="10923f" fillcolor="none" stroked="f" strokecolor="#e5b8b7 [1301]">
              <v:fill color2="#dce6f2" angle="-135" type="gradient"/>
              <v:shadow opacity=".5" offset="4pt,4pt" offset2="4pt,4pt"/>
              <v:textbox style="mso-next-textbox:#_x0000_s1041">
                <w:txbxContent>
                  <w:p w:rsidR="008F75EC" w:rsidRPr="008F75EC" w:rsidRDefault="008F75EC" w:rsidP="008F75EC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预审结束，符合资格的竞拍者将保证金及首付款</w:t>
                    </w:r>
                    <w:r w:rsidR="00437EE8">
                      <w:rPr>
                        <w:rFonts w:hint="eastAsia"/>
                        <w:sz w:val="18"/>
                        <w:szCs w:val="18"/>
                      </w:rPr>
                      <w:t>汇入指定账户</w:t>
                    </w:r>
                  </w:p>
                </w:txbxContent>
              </v:textbox>
            </v:roundrect>
            <v:roundrect id="_x0000_s1042" style="position:absolute;left:4425;top:9940;width:5355;height:964" arcsize="10923f" fillcolor="none" stroked="f" strokecolor="#e5b8b7 [1301]">
              <v:fill color2="#dce6f2" angle="-135" type="gradient"/>
              <v:shadow opacity=".5" offset="4pt,4pt" offset2="4pt,4pt"/>
              <v:textbox style="mso-next-textbox:#_x0000_s1042">
                <w:txbxContent>
                  <w:p w:rsidR="00437EE8" w:rsidRPr="008F75EC" w:rsidRDefault="00437EE8" w:rsidP="008F75EC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竞拍者与海鑫资产公司签订相关借款合同，落实放款条件后，海鑫资产放款，专项用于支付房产尾款款项</w:t>
                    </w:r>
                  </w:p>
                </w:txbxContent>
              </v:textbox>
            </v:roundrect>
            <v:roundrect id="_x0000_s1043" style="position:absolute;left:4410;top:11227;width:5355;height:794" arcsize="10923f" fillcolor="none" stroked="f" strokecolor="#e5b8b7 [1301]">
              <v:fill color2="#dce6f2" angle="-135" type="gradient"/>
              <v:shadow opacity=".5" offset="4pt,4pt" offset2="4pt,4pt"/>
              <v:textbox style="mso-next-textbox:#_x0000_s1043">
                <w:txbxContent>
                  <w:p w:rsidR="00437EE8" w:rsidRPr="008F75EC" w:rsidRDefault="00437EE8" w:rsidP="008F75EC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法院收到足额放款后出具协助执行通知书、裁定书，海鑫资产公司协助竞拍人（借款人）办理房屋过户手续及银行按揭贷款。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37EE8" w:rsidRPr="009C5B12" w:rsidRDefault="00437EE8" w:rsidP="006D2B2C">
      <w:pPr>
        <w:spacing w:line="276" w:lineRule="auto"/>
        <w:rPr>
          <w:rFonts w:ascii="宋体" w:hAnsi="宋体"/>
          <w:b/>
          <w:color w:val="000000"/>
          <w:szCs w:val="21"/>
        </w:rPr>
      </w:pPr>
      <w:r w:rsidRPr="009C5B12">
        <w:rPr>
          <w:rFonts w:ascii="宋体" w:hAnsi="宋体" w:hint="eastAsia"/>
          <w:b/>
          <w:color w:val="000000"/>
          <w:szCs w:val="21"/>
        </w:rPr>
        <w:t>法拍通业务受理条件</w:t>
      </w:r>
    </w:p>
    <w:p w:rsidR="00437EE8" w:rsidRPr="009C5B12" w:rsidRDefault="00437EE8" w:rsidP="006D2B2C">
      <w:pPr>
        <w:pStyle w:val="a8"/>
        <w:spacing w:line="276" w:lineRule="auto"/>
        <w:ind w:firstLineChars="200" w:firstLine="420"/>
        <w:rPr>
          <w:rFonts w:ascii="宋体" w:hAnsi="宋体"/>
          <w:sz w:val="21"/>
          <w:szCs w:val="21"/>
        </w:rPr>
      </w:pPr>
      <w:r w:rsidRPr="009C5B12">
        <w:rPr>
          <w:rFonts w:ascii="宋体" w:hAnsi="宋体" w:hint="eastAsia"/>
          <w:sz w:val="21"/>
          <w:szCs w:val="21"/>
        </w:rPr>
        <w:t>借款人及其配偶符合银行办理按揭贷款的要求。</w:t>
      </w:r>
    </w:p>
    <w:p w:rsidR="00437EE8" w:rsidRPr="009C5B12" w:rsidRDefault="00437EE8" w:rsidP="006D2B2C">
      <w:pPr>
        <w:pStyle w:val="a8"/>
        <w:spacing w:line="276" w:lineRule="auto"/>
        <w:ind w:firstLineChars="0" w:firstLine="0"/>
        <w:rPr>
          <w:rFonts w:ascii="宋体" w:hAnsi="宋体"/>
          <w:b/>
          <w:color w:val="000000"/>
          <w:sz w:val="21"/>
          <w:szCs w:val="21"/>
        </w:rPr>
      </w:pPr>
      <w:r w:rsidRPr="009C5B12">
        <w:rPr>
          <w:rFonts w:ascii="宋体" w:hAnsi="宋体" w:hint="eastAsia"/>
          <w:b/>
          <w:color w:val="000000"/>
          <w:sz w:val="21"/>
          <w:szCs w:val="21"/>
        </w:rPr>
        <w:t>贷款金额</w:t>
      </w:r>
    </w:p>
    <w:p w:rsidR="00437EE8" w:rsidRPr="009C5B12" w:rsidRDefault="00437EE8" w:rsidP="006D2B2C">
      <w:pPr>
        <w:pStyle w:val="a8"/>
        <w:spacing w:line="276" w:lineRule="auto"/>
        <w:ind w:firstLineChars="200" w:firstLine="420"/>
        <w:rPr>
          <w:rFonts w:ascii="宋体" w:hAnsi="宋体"/>
          <w:b/>
          <w:bCs/>
          <w:color w:val="000000"/>
          <w:sz w:val="21"/>
          <w:szCs w:val="21"/>
        </w:rPr>
      </w:pPr>
      <w:r w:rsidRPr="009C5B12">
        <w:rPr>
          <w:rFonts w:ascii="宋体" w:hAnsi="宋体" w:hint="eastAsia"/>
          <w:sz w:val="21"/>
          <w:szCs w:val="21"/>
        </w:rPr>
        <w:t>在银行按揭贷款审批金额之内(住宅不超过70%，商业商住不超过</w:t>
      </w:r>
      <w:r w:rsidR="00D92EFB">
        <w:rPr>
          <w:rFonts w:ascii="宋体" w:hAnsi="宋体" w:hint="eastAsia"/>
          <w:sz w:val="21"/>
          <w:szCs w:val="21"/>
        </w:rPr>
        <w:t>5</w:t>
      </w:r>
      <w:r w:rsidRPr="009C5B12">
        <w:rPr>
          <w:rFonts w:ascii="宋体" w:hAnsi="宋体" w:hint="eastAsia"/>
          <w:sz w:val="21"/>
          <w:szCs w:val="21"/>
        </w:rPr>
        <w:t>0%)</w:t>
      </w:r>
    </w:p>
    <w:p w:rsidR="00437EE8" w:rsidRPr="009C5B12" w:rsidRDefault="00437EE8" w:rsidP="006D2B2C">
      <w:pPr>
        <w:pStyle w:val="a8"/>
        <w:spacing w:line="276" w:lineRule="auto"/>
        <w:ind w:firstLineChars="0" w:firstLine="0"/>
        <w:rPr>
          <w:rFonts w:ascii="宋体" w:hAnsi="宋体"/>
          <w:b/>
          <w:color w:val="000000"/>
          <w:sz w:val="21"/>
          <w:szCs w:val="21"/>
        </w:rPr>
      </w:pPr>
      <w:r w:rsidRPr="009C5B12">
        <w:rPr>
          <w:rFonts w:ascii="宋体" w:hAnsi="宋体" w:hint="eastAsia"/>
          <w:b/>
          <w:color w:val="000000"/>
          <w:sz w:val="21"/>
          <w:szCs w:val="21"/>
        </w:rPr>
        <w:t>贷款期限及贷款执行利率</w:t>
      </w:r>
    </w:p>
    <w:p w:rsidR="00437EE8" w:rsidRPr="009C5B12" w:rsidRDefault="00437EE8" w:rsidP="006D2B2C">
      <w:pPr>
        <w:pStyle w:val="a8"/>
        <w:spacing w:line="276" w:lineRule="auto"/>
        <w:ind w:firstLineChars="150" w:firstLine="315"/>
        <w:rPr>
          <w:rFonts w:ascii="宋体" w:hAnsi="宋体"/>
          <w:sz w:val="21"/>
          <w:szCs w:val="21"/>
        </w:rPr>
      </w:pPr>
      <w:r w:rsidRPr="009C5B12">
        <w:rPr>
          <w:rFonts w:ascii="宋体" w:hAnsi="宋体" w:hint="eastAsia"/>
          <w:sz w:val="21"/>
          <w:szCs w:val="21"/>
        </w:rPr>
        <w:t>1、贷款期限不超过六个月；</w:t>
      </w:r>
    </w:p>
    <w:p w:rsidR="00437EE8" w:rsidRPr="009C5B12" w:rsidRDefault="00437EE8" w:rsidP="006D2B2C">
      <w:pPr>
        <w:pStyle w:val="a8"/>
        <w:spacing w:line="276" w:lineRule="auto"/>
        <w:ind w:firstLineChars="150" w:firstLine="315"/>
        <w:rPr>
          <w:rFonts w:ascii="宋体" w:hAnsi="宋体"/>
          <w:sz w:val="21"/>
          <w:szCs w:val="21"/>
        </w:rPr>
      </w:pPr>
      <w:r w:rsidRPr="009C5B12">
        <w:rPr>
          <w:rFonts w:ascii="宋体" w:hAnsi="宋体" w:hint="eastAsia"/>
          <w:sz w:val="21"/>
          <w:szCs w:val="21"/>
        </w:rPr>
        <w:t>2、贷款利率在12%-18%（年）</w:t>
      </w:r>
    </w:p>
    <w:p w:rsidR="00437EE8" w:rsidRPr="009C5B12" w:rsidRDefault="00437EE8" w:rsidP="006D2B2C">
      <w:pPr>
        <w:pStyle w:val="a8"/>
        <w:spacing w:line="276" w:lineRule="auto"/>
        <w:ind w:firstLineChars="0" w:firstLine="0"/>
        <w:rPr>
          <w:rFonts w:ascii="宋体" w:hAnsi="宋体"/>
          <w:b/>
          <w:bCs/>
          <w:color w:val="000000"/>
          <w:sz w:val="21"/>
          <w:szCs w:val="21"/>
        </w:rPr>
      </w:pPr>
      <w:r w:rsidRPr="009C5B12">
        <w:rPr>
          <w:rFonts w:ascii="宋体" w:hAnsi="宋体" w:hint="eastAsia"/>
          <w:b/>
          <w:bCs/>
          <w:color w:val="000000"/>
          <w:sz w:val="21"/>
          <w:szCs w:val="21"/>
        </w:rPr>
        <w:t>银行按揭贷款期限及利率</w:t>
      </w:r>
    </w:p>
    <w:p w:rsidR="00437EE8" w:rsidRPr="009C5B12" w:rsidRDefault="00437EE8" w:rsidP="006D2B2C">
      <w:pPr>
        <w:pStyle w:val="a8"/>
        <w:spacing w:line="276" w:lineRule="auto"/>
        <w:ind w:firstLineChars="0" w:firstLine="0"/>
        <w:rPr>
          <w:rFonts w:ascii="宋体" w:hAnsi="宋体"/>
          <w:color w:val="000000"/>
          <w:sz w:val="21"/>
          <w:szCs w:val="21"/>
        </w:rPr>
      </w:pPr>
      <w:r w:rsidRPr="009C5B12">
        <w:rPr>
          <w:rFonts w:ascii="宋体" w:hAnsi="宋体" w:hint="eastAsia"/>
          <w:color w:val="000000"/>
          <w:sz w:val="21"/>
          <w:szCs w:val="21"/>
        </w:rPr>
        <w:t xml:space="preserve">   1、普通住宅最长30年，商住最长10年；</w:t>
      </w:r>
    </w:p>
    <w:p w:rsidR="00EA0080" w:rsidRPr="00CE6D89" w:rsidRDefault="00437EE8" w:rsidP="006D2B2C">
      <w:pPr>
        <w:pStyle w:val="a8"/>
        <w:spacing w:line="276" w:lineRule="auto"/>
        <w:ind w:firstLineChars="150" w:firstLine="315"/>
        <w:rPr>
          <w:rFonts w:ascii="宋体" w:hAnsi="宋体"/>
          <w:color w:val="000000"/>
          <w:sz w:val="21"/>
          <w:szCs w:val="21"/>
        </w:rPr>
        <w:sectPr w:rsidR="00EA0080" w:rsidRPr="00CE6D89" w:rsidSect="00EA0080">
          <w:head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  <w:r w:rsidRPr="009C5B12">
        <w:rPr>
          <w:rFonts w:ascii="宋体" w:hAnsi="宋体" w:hint="eastAsia"/>
          <w:color w:val="000000"/>
          <w:sz w:val="21"/>
          <w:szCs w:val="21"/>
        </w:rPr>
        <w:t>2、执行同期普通住房按揭贷款利率</w:t>
      </w:r>
      <w:r w:rsidR="00CE6D89">
        <w:rPr>
          <w:rFonts w:ascii="宋体" w:hAnsi="宋体" w:hint="eastAsia"/>
          <w:color w:val="000000"/>
          <w:sz w:val="21"/>
          <w:szCs w:val="21"/>
        </w:rPr>
        <w:t>.</w:t>
      </w:r>
    </w:p>
    <w:p w:rsidR="00002D42" w:rsidRPr="00ED4282" w:rsidRDefault="00CE1EEE" w:rsidP="00ED428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近两周</w:t>
      </w:r>
      <w:r w:rsidR="00D80425" w:rsidRPr="00ED4282">
        <w:rPr>
          <w:rFonts w:asciiTheme="minorEastAsia" w:hAnsiTheme="minorEastAsia" w:hint="eastAsia"/>
          <w:b/>
          <w:sz w:val="36"/>
          <w:szCs w:val="36"/>
        </w:rPr>
        <w:t>法拍房产信息推介</w:t>
      </w:r>
    </w:p>
    <w:p w:rsidR="00002D42" w:rsidRPr="00284501" w:rsidRDefault="00E52A65" w:rsidP="00E52A65">
      <w:pPr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（信息来源：北京产权交易所网站</w:t>
      </w:r>
      <w:r w:rsidR="00CE1EEE">
        <w:rPr>
          <w:rFonts w:asciiTheme="minorEastAsia" w:hAnsiTheme="minorEastAsia" w:hint="eastAsia"/>
          <w:sz w:val="18"/>
          <w:szCs w:val="18"/>
        </w:rPr>
        <w:t>，更新至2016年</w:t>
      </w:r>
      <w:r w:rsidR="00693BAA">
        <w:rPr>
          <w:rFonts w:asciiTheme="minorEastAsia" w:hAnsiTheme="minorEastAsia" w:hint="eastAsia"/>
          <w:sz w:val="18"/>
          <w:szCs w:val="18"/>
        </w:rPr>
        <w:t>1</w:t>
      </w:r>
      <w:r w:rsidR="00240008">
        <w:rPr>
          <w:rFonts w:asciiTheme="minorEastAsia" w:hAnsiTheme="minorEastAsia" w:hint="eastAsia"/>
          <w:sz w:val="18"/>
          <w:szCs w:val="18"/>
        </w:rPr>
        <w:t>1</w:t>
      </w:r>
      <w:r w:rsidR="00CE1EEE">
        <w:rPr>
          <w:rFonts w:asciiTheme="minorEastAsia" w:hAnsiTheme="minorEastAsia" w:hint="eastAsia"/>
          <w:sz w:val="18"/>
          <w:szCs w:val="18"/>
        </w:rPr>
        <w:t>月</w:t>
      </w:r>
      <w:r w:rsidR="00240008">
        <w:rPr>
          <w:rFonts w:asciiTheme="minorEastAsia" w:hAnsiTheme="minorEastAsia" w:hint="eastAsia"/>
          <w:sz w:val="18"/>
          <w:szCs w:val="18"/>
        </w:rPr>
        <w:t>13</w:t>
      </w:r>
      <w:r w:rsidR="00CE1EEE">
        <w:rPr>
          <w:rFonts w:asciiTheme="minorEastAsia" w:hAnsiTheme="minorEastAsia" w:hint="eastAsia"/>
          <w:sz w:val="18"/>
          <w:szCs w:val="18"/>
        </w:rPr>
        <w:t>日</w:t>
      </w:r>
      <w:r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8790" w:type="dxa"/>
        <w:tblInd w:w="-318" w:type="dxa"/>
        <w:shd w:val="clear" w:color="auto" w:fill="DBE5F1" w:themeFill="accent1" w:themeFillTint="33"/>
        <w:tblLayout w:type="fixed"/>
        <w:tblLook w:val="04A0"/>
      </w:tblPr>
      <w:tblGrid>
        <w:gridCol w:w="1986"/>
        <w:gridCol w:w="1842"/>
        <w:gridCol w:w="851"/>
        <w:gridCol w:w="1984"/>
        <w:gridCol w:w="2127"/>
      </w:tblGrid>
      <w:tr w:rsidR="00D72E53" w:rsidRPr="00284501" w:rsidTr="00461B7F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D72E53" w:rsidRPr="00284501" w:rsidRDefault="00D72E53" w:rsidP="001C37D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84501">
              <w:rPr>
                <w:rFonts w:asciiTheme="minorEastAsia" w:hAnsiTheme="minorEastAsia" w:hint="eastAsia"/>
                <w:b/>
                <w:szCs w:val="21"/>
              </w:rPr>
              <w:t>标的名称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D72E53" w:rsidRPr="00284501" w:rsidRDefault="00D72E53" w:rsidP="00D72E5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84501">
              <w:rPr>
                <w:rFonts w:asciiTheme="minorEastAsia" w:hAnsiTheme="minorEastAsia" w:hint="eastAsia"/>
                <w:b/>
                <w:szCs w:val="21"/>
              </w:rPr>
              <w:t>房产证号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72E53" w:rsidRPr="00284501" w:rsidRDefault="00D72E53" w:rsidP="00A9378F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84501">
              <w:rPr>
                <w:rFonts w:asciiTheme="minorEastAsia" w:hAnsiTheme="minorEastAsia" w:hint="eastAsia"/>
                <w:b/>
                <w:szCs w:val="21"/>
              </w:rPr>
              <w:t>面积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72E53" w:rsidRPr="00284501" w:rsidRDefault="00D72E53" w:rsidP="001C37D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84501">
              <w:rPr>
                <w:rFonts w:asciiTheme="minorEastAsia" w:hAnsiTheme="minorEastAsia" w:hint="eastAsia"/>
                <w:b/>
                <w:szCs w:val="21"/>
              </w:rPr>
              <w:t>评估价格</w:t>
            </w:r>
            <w:r w:rsidR="00A9378F">
              <w:rPr>
                <w:rFonts w:asciiTheme="minorEastAsia" w:hAnsiTheme="minorEastAsia" w:hint="eastAsia"/>
                <w:b/>
                <w:szCs w:val="21"/>
              </w:rPr>
              <w:t>及保证金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D72E53" w:rsidRPr="00284501" w:rsidRDefault="00D72E53" w:rsidP="001C37DD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84501">
              <w:rPr>
                <w:rFonts w:asciiTheme="minorEastAsia" w:hAnsiTheme="minorEastAsia" w:hint="eastAsia"/>
                <w:b/>
                <w:szCs w:val="21"/>
              </w:rPr>
              <w:t>简要介绍</w:t>
            </w:r>
          </w:p>
        </w:tc>
      </w:tr>
      <w:tr w:rsidR="00797D4B" w:rsidRPr="00797D4B" w:rsidTr="00797D4B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1C37DD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北京市海淀区青云里满庭芳园小区2号楼4层401号房产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京房权证海私字第0049819号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A9378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81㎡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797D4B" w:rsidRPr="00797D4B" w:rsidTr="00461B7F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797D4B" w:rsidRPr="00797D4B" w:rsidRDefault="00797D4B" w:rsidP="001C37DD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北京市海淀区杏石口路79号1幢2至4层3201号房产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X京房权证海字第466544号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97D4B" w:rsidRPr="00797D4B" w:rsidRDefault="00797D4B" w:rsidP="00A9378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331㎡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7D4B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862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69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</w:tr>
      <w:tr w:rsidR="00797D4B" w:rsidRPr="00797D4B" w:rsidTr="00797D4B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1C37DD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北京市海淀区华澳中心二期嘉慧苑8层903号房产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X京房权证海字第390516号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245㎡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989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二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797D4B" w:rsidRPr="00797D4B" w:rsidTr="00797D4B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797D4B" w:rsidRPr="00797D4B" w:rsidRDefault="00797D4B" w:rsidP="001C37DD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北京市海淀区创业中路32号楼32-3号房产及土地使用权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房产证号：京房权证市海其字第0590007号</w:t>
            </w:r>
          </w:p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土地证号：京市海其国用（2002出）字第0590007号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1303㎡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7D4B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2344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234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797D4B" w:rsidRPr="00797D4B" w:rsidTr="00797D4B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1C37DD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北京市昌平区东小口镇天通西苑三区1号楼29层4号房产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797D4B" w:rsidRDefault="00797D4B" w:rsidP="00D72E53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797D4B">
              <w:rPr>
                <w:rFonts w:asciiTheme="minorEastAsia" w:hAnsiTheme="minorEastAsia" w:hint="eastAsia"/>
                <w:sz w:val="18"/>
                <w:szCs w:val="18"/>
              </w:rPr>
              <w:t>京房权证昌私移字第178872号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197㎡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386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797D4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38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5B6E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11-24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北京市西城区珠宝市28号（原宣武区珠宝市28号）房产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宣字第13107号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22㎡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226万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11-23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北京巿丰台区怡海花园富泽园2号楼22层2204号房产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X京房权证丰字第147832号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102㎡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428万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11-23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北京市平谷区平谷镇东方国际公寓1号楼（1）-1701号房地产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京房权证平私移字第50047号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141㎡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227万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北京市朝阳区潘道庙7号楼3单元601号房地产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X京房权证朝私字第518760号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71㎡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313万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11-22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DBE5F1" w:themeFill="accent1" w:themeFillTint="33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北京市海淀区万寿路西街甲11号院6号楼1层102号房产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25635">
              <w:rPr>
                <w:rFonts w:asciiTheme="minorEastAsia" w:hAnsiTheme="minorEastAsia" w:hint="eastAsia"/>
                <w:sz w:val="18"/>
                <w:szCs w:val="18"/>
              </w:rPr>
              <w:t>X京房权证海字第122889号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215㎡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1456万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140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797D4B" w:rsidRPr="00AC4F96" w:rsidRDefault="00797D4B" w:rsidP="00C2563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11-17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  <w:tr w:rsidR="00797D4B" w:rsidRPr="00C25635" w:rsidTr="00240008">
        <w:trPr>
          <w:trHeight w:val="409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1C37D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3AA1">
              <w:rPr>
                <w:rFonts w:asciiTheme="minorEastAsia" w:hAnsiTheme="minorEastAsia" w:hint="eastAsia"/>
                <w:sz w:val="18"/>
                <w:szCs w:val="18"/>
              </w:rPr>
              <w:t>北京市朝阳区小营路19号1号楼B1001、B1002、B1003号房产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97D4B" w:rsidRPr="00C25635" w:rsidRDefault="00797D4B" w:rsidP="00D72E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3AA1">
              <w:rPr>
                <w:rFonts w:asciiTheme="minorEastAsia" w:hAnsiTheme="minorEastAsia" w:hint="eastAsia"/>
                <w:sz w:val="18"/>
                <w:szCs w:val="18"/>
              </w:rPr>
              <w:t>X京房权证朝字第605658号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97D4B" w:rsidRDefault="00797D4B" w:rsidP="00A9378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629㎡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97D4B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评估价格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2392万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元</w:t>
            </w:r>
          </w:p>
          <w:p w:rsidR="00797D4B" w:rsidRPr="00AC4F96" w:rsidRDefault="00797D4B" w:rsidP="000404B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竞买保证金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150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97D4B" w:rsidRPr="00AC4F96" w:rsidRDefault="00797D4B" w:rsidP="00DD3A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三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次拍卖，竞价日期2016-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11-17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；预展时间：2016-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~2016-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F83978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</w:tr>
    </w:tbl>
    <w:p w:rsidR="00E52A65" w:rsidRDefault="00E52A65">
      <w:pPr>
        <w:tabs>
          <w:tab w:val="left" w:pos="630"/>
        </w:tabs>
        <w:jc w:val="right"/>
        <w:rPr>
          <w:rFonts w:asciiTheme="minorEastAsia" w:hAnsiTheme="minorEastAsia"/>
          <w:color w:val="FF0000"/>
          <w:sz w:val="18"/>
          <w:szCs w:val="18"/>
        </w:rPr>
      </w:pPr>
      <w:r w:rsidRPr="00E52A65">
        <w:rPr>
          <w:rFonts w:asciiTheme="minorEastAsia" w:hAnsiTheme="minorEastAsia" w:hint="eastAsia"/>
          <w:color w:val="FF0000"/>
          <w:sz w:val="18"/>
          <w:szCs w:val="18"/>
        </w:rPr>
        <w:t>注：法拍房产信息每两周更新，敬请期待</w:t>
      </w:r>
    </w:p>
    <w:p w:rsidR="00E30ABE" w:rsidRDefault="00E30ABE">
      <w:pPr>
        <w:tabs>
          <w:tab w:val="left" w:pos="630"/>
        </w:tabs>
        <w:jc w:val="right"/>
        <w:rPr>
          <w:rFonts w:asciiTheme="minorEastAsia" w:hAnsiTheme="minorEastAsia"/>
          <w:color w:val="FF0000"/>
          <w:sz w:val="18"/>
          <w:szCs w:val="18"/>
        </w:rPr>
      </w:pPr>
    </w:p>
    <w:p w:rsidR="00461B7F" w:rsidRDefault="00461B7F">
      <w:pPr>
        <w:tabs>
          <w:tab w:val="left" w:pos="630"/>
        </w:tabs>
        <w:jc w:val="right"/>
        <w:rPr>
          <w:rFonts w:asciiTheme="minorEastAsia" w:hAnsiTheme="minorEastAsia"/>
          <w:color w:val="FF0000"/>
          <w:sz w:val="18"/>
          <w:szCs w:val="18"/>
        </w:rPr>
      </w:pPr>
    </w:p>
    <w:p w:rsidR="00461B7F" w:rsidRDefault="00461B7F">
      <w:pPr>
        <w:tabs>
          <w:tab w:val="left" w:pos="630"/>
        </w:tabs>
        <w:jc w:val="right"/>
        <w:rPr>
          <w:rFonts w:asciiTheme="minorEastAsia" w:hAnsiTheme="minorEastAsia"/>
          <w:color w:val="FF0000"/>
          <w:sz w:val="18"/>
          <w:szCs w:val="18"/>
        </w:rPr>
      </w:pPr>
    </w:p>
    <w:p w:rsidR="00461B7F" w:rsidRPr="00461B7F" w:rsidRDefault="00461B7F">
      <w:pPr>
        <w:tabs>
          <w:tab w:val="left" w:pos="630"/>
        </w:tabs>
        <w:jc w:val="right"/>
        <w:rPr>
          <w:rFonts w:asciiTheme="minorEastAsia" w:hAnsiTheme="minorEastAsia"/>
          <w:color w:val="FF0000"/>
          <w:sz w:val="18"/>
          <w:szCs w:val="18"/>
        </w:rPr>
      </w:pPr>
    </w:p>
    <w:p w:rsidR="009A61BC" w:rsidRPr="009A61BC" w:rsidRDefault="009A61BC" w:rsidP="009A61BC">
      <w:pPr>
        <w:rPr>
          <w:rFonts w:asciiTheme="minorEastAsia" w:hAnsiTheme="minorEastAsia"/>
          <w:sz w:val="18"/>
          <w:szCs w:val="18"/>
        </w:rPr>
      </w:pPr>
      <w:r w:rsidRPr="009A61BC">
        <w:rPr>
          <w:rFonts w:asciiTheme="minorEastAsia" w:hAnsiTheme="minorEastAsia" w:hint="eastAsia"/>
          <w:sz w:val="18"/>
          <w:szCs w:val="18"/>
        </w:rPr>
        <w:t>如果</w:t>
      </w:r>
      <w:r w:rsidR="0094144A">
        <w:rPr>
          <w:rFonts w:asciiTheme="minorEastAsia" w:hAnsiTheme="minorEastAsia" w:hint="eastAsia"/>
          <w:sz w:val="18"/>
          <w:szCs w:val="18"/>
        </w:rPr>
        <w:t>您</w:t>
      </w:r>
      <w:r w:rsidRPr="009A61BC">
        <w:rPr>
          <w:rFonts w:asciiTheme="minorEastAsia" w:hAnsiTheme="minorEastAsia" w:hint="eastAsia"/>
          <w:sz w:val="18"/>
          <w:szCs w:val="18"/>
        </w:rPr>
        <w:t>有</w:t>
      </w:r>
      <w:r>
        <w:rPr>
          <w:rFonts w:asciiTheme="minorEastAsia" w:hAnsiTheme="minorEastAsia" w:hint="eastAsia"/>
          <w:sz w:val="18"/>
          <w:szCs w:val="18"/>
        </w:rPr>
        <w:t>相关</w:t>
      </w:r>
      <w:r w:rsidRPr="009A61BC">
        <w:rPr>
          <w:rFonts w:asciiTheme="minorEastAsia" w:hAnsiTheme="minorEastAsia" w:hint="eastAsia"/>
          <w:sz w:val="18"/>
          <w:szCs w:val="18"/>
        </w:rPr>
        <w:t>购房需求，请联系我们！</w:t>
      </w:r>
    </w:p>
    <w:p w:rsidR="009A61BC" w:rsidRPr="009A61BC" w:rsidRDefault="009A61BC" w:rsidP="009A61BC">
      <w:pPr>
        <w:rPr>
          <w:rFonts w:asciiTheme="minorEastAsia" w:hAnsiTheme="minorEastAsia"/>
          <w:sz w:val="18"/>
          <w:szCs w:val="18"/>
        </w:rPr>
      </w:pPr>
    </w:p>
    <w:p w:rsidR="009A61BC" w:rsidRPr="009A61BC" w:rsidRDefault="009A61BC" w:rsidP="009A61BC">
      <w:pPr>
        <w:rPr>
          <w:rFonts w:asciiTheme="minorEastAsia" w:hAnsiTheme="minorEastAsia"/>
          <w:sz w:val="18"/>
          <w:szCs w:val="18"/>
        </w:rPr>
      </w:pPr>
      <w:r w:rsidRPr="009A61BC">
        <w:rPr>
          <w:rFonts w:asciiTheme="minorEastAsia" w:hAnsiTheme="minorEastAsia" w:hint="eastAsia"/>
          <w:sz w:val="18"/>
          <w:szCs w:val="18"/>
        </w:rPr>
        <w:t>北京海鑫资产管理有限公司</w:t>
      </w:r>
    </w:p>
    <w:p w:rsidR="009A61BC" w:rsidRPr="009A61BC" w:rsidRDefault="009A61BC" w:rsidP="009A61BC">
      <w:pPr>
        <w:rPr>
          <w:rFonts w:asciiTheme="minorEastAsia" w:hAnsiTheme="minorEastAsia"/>
          <w:sz w:val="18"/>
          <w:szCs w:val="18"/>
        </w:rPr>
      </w:pPr>
      <w:r w:rsidRPr="009A61BC">
        <w:rPr>
          <w:rFonts w:asciiTheme="minorEastAsia" w:hAnsiTheme="minorEastAsia" w:hint="eastAsia"/>
          <w:sz w:val="18"/>
          <w:szCs w:val="18"/>
        </w:rPr>
        <w:t>联系部门：债权业务部</w:t>
      </w:r>
      <w:r w:rsidR="00E8000B">
        <w:rPr>
          <w:rFonts w:asciiTheme="minorEastAsia" w:hAnsiTheme="minorEastAsia" w:hint="eastAsia"/>
          <w:sz w:val="18"/>
          <w:szCs w:val="18"/>
        </w:rPr>
        <w:t>、资产业务部</w:t>
      </w:r>
    </w:p>
    <w:p w:rsidR="009A61BC" w:rsidRDefault="009A61BC" w:rsidP="009A61BC">
      <w:pPr>
        <w:rPr>
          <w:rFonts w:asciiTheme="minorEastAsia" w:hAnsiTheme="minorEastAsia"/>
          <w:sz w:val="18"/>
          <w:szCs w:val="18"/>
        </w:rPr>
      </w:pPr>
      <w:r w:rsidRPr="009A61BC">
        <w:rPr>
          <w:rFonts w:asciiTheme="minorEastAsia" w:hAnsiTheme="minorEastAsia" w:hint="eastAsia"/>
          <w:sz w:val="18"/>
          <w:szCs w:val="18"/>
        </w:rPr>
        <w:t>联系人：</w:t>
      </w:r>
      <w:r w:rsidR="00E8000B">
        <w:rPr>
          <w:rFonts w:asciiTheme="minorEastAsia" w:hAnsiTheme="minorEastAsia" w:hint="eastAsia"/>
          <w:sz w:val="18"/>
          <w:szCs w:val="18"/>
        </w:rPr>
        <w:t>王瓯          电话：13716324478</w:t>
      </w:r>
    </w:p>
    <w:p w:rsidR="009A61BC" w:rsidRDefault="00DD3AA1" w:rsidP="009A61BC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      </w:t>
      </w:r>
      <w:r w:rsidR="00E8000B">
        <w:rPr>
          <w:rFonts w:asciiTheme="minorEastAsia" w:hAnsiTheme="minorEastAsia" w:hint="eastAsia"/>
          <w:sz w:val="18"/>
          <w:szCs w:val="18"/>
        </w:rPr>
        <w:t xml:space="preserve">卢艾伦        </w:t>
      </w:r>
      <w:r w:rsidR="009A61BC">
        <w:rPr>
          <w:rFonts w:asciiTheme="minorEastAsia" w:hAnsiTheme="minorEastAsia" w:hint="eastAsia"/>
          <w:sz w:val="18"/>
          <w:szCs w:val="18"/>
        </w:rPr>
        <w:t>电话：</w:t>
      </w:r>
      <w:r w:rsidR="00E8000B">
        <w:rPr>
          <w:rFonts w:asciiTheme="minorEastAsia" w:hAnsiTheme="minorEastAsia" w:hint="eastAsia"/>
          <w:sz w:val="18"/>
          <w:szCs w:val="18"/>
        </w:rPr>
        <w:t>18811216609</w:t>
      </w:r>
    </w:p>
    <w:p w:rsidR="009A61BC" w:rsidRPr="009A61BC" w:rsidRDefault="009A61BC" w:rsidP="009A61BC">
      <w:pPr>
        <w:tabs>
          <w:tab w:val="left" w:pos="630"/>
        </w:tabs>
        <w:jc w:val="left"/>
        <w:rPr>
          <w:rFonts w:asciiTheme="minorEastAsia" w:hAnsiTheme="minorEastAsia"/>
          <w:sz w:val="18"/>
          <w:szCs w:val="18"/>
        </w:rPr>
      </w:pPr>
    </w:p>
    <w:sectPr w:rsidR="009A61BC" w:rsidRPr="009A61BC" w:rsidSect="00D72E53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87" w:rsidRDefault="00551E87" w:rsidP="00002D42">
      <w:r>
        <w:separator/>
      </w:r>
    </w:p>
  </w:endnote>
  <w:endnote w:type="continuationSeparator" w:id="1">
    <w:p w:rsidR="00551E87" w:rsidRDefault="00551E87" w:rsidP="0000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87" w:rsidRDefault="00551E87" w:rsidP="00002D42">
      <w:r>
        <w:separator/>
      </w:r>
    </w:p>
  </w:footnote>
  <w:footnote w:type="continuationSeparator" w:id="1">
    <w:p w:rsidR="00551E87" w:rsidRDefault="00551E87" w:rsidP="00002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07" w:rsidRDefault="001B6007" w:rsidP="001B6007">
    <w:pPr>
      <w:pStyle w:val="a4"/>
      <w:jc w:val="right"/>
    </w:pPr>
    <w:r>
      <w:rPr>
        <w:rFonts w:hint="eastAsia"/>
      </w:rPr>
      <w:t>北京海鑫资产管理有限公司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5C52"/>
    <w:multiLevelType w:val="hybridMultilevel"/>
    <w:tmpl w:val="759C643A"/>
    <w:lvl w:ilvl="0" w:tplc="DC8CA196">
      <w:start w:val="1"/>
      <w:numFmt w:val="decimal"/>
      <w:lvlText w:val="%1、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D42"/>
    <w:rsid w:val="00002D42"/>
    <w:rsid w:val="00024609"/>
    <w:rsid w:val="0005321C"/>
    <w:rsid w:val="00053F1E"/>
    <w:rsid w:val="00054635"/>
    <w:rsid w:val="000611C6"/>
    <w:rsid w:val="00065155"/>
    <w:rsid w:val="000759BE"/>
    <w:rsid w:val="00076950"/>
    <w:rsid w:val="00076FB7"/>
    <w:rsid w:val="000A0917"/>
    <w:rsid w:val="000A4F3E"/>
    <w:rsid w:val="000E3F1F"/>
    <w:rsid w:val="000F2AE8"/>
    <w:rsid w:val="001176CB"/>
    <w:rsid w:val="001739C9"/>
    <w:rsid w:val="00182AE5"/>
    <w:rsid w:val="00192551"/>
    <w:rsid w:val="001A09BB"/>
    <w:rsid w:val="001B6007"/>
    <w:rsid w:val="001C37DD"/>
    <w:rsid w:val="001D70D5"/>
    <w:rsid w:val="001E66F1"/>
    <w:rsid w:val="001F4C0A"/>
    <w:rsid w:val="001F4C67"/>
    <w:rsid w:val="00231178"/>
    <w:rsid w:val="00231DAB"/>
    <w:rsid w:val="00234B80"/>
    <w:rsid w:val="0023541C"/>
    <w:rsid w:val="002371DD"/>
    <w:rsid w:val="00240008"/>
    <w:rsid w:val="002449C7"/>
    <w:rsid w:val="00250252"/>
    <w:rsid w:val="00272995"/>
    <w:rsid w:val="0027468D"/>
    <w:rsid w:val="00284501"/>
    <w:rsid w:val="002935E8"/>
    <w:rsid w:val="002C09F0"/>
    <w:rsid w:val="002C63FA"/>
    <w:rsid w:val="002D33DC"/>
    <w:rsid w:val="002D3552"/>
    <w:rsid w:val="002F3697"/>
    <w:rsid w:val="0031461A"/>
    <w:rsid w:val="00316A9F"/>
    <w:rsid w:val="00351A0F"/>
    <w:rsid w:val="00352E80"/>
    <w:rsid w:val="00366333"/>
    <w:rsid w:val="00381A6E"/>
    <w:rsid w:val="0038300E"/>
    <w:rsid w:val="003D4147"/>
    <w:rsid w:val="003D6CD0"/>
    <w:rsid w:val="004157C5"/>
    <w:rsid w:val="00422069"/>
    <w:rsid w:val="00437EE8"/>
    <w:rsid w:val="00440D60"/>
    <w:rsid w:val="00455459"/>
    <w:rsid w:val="00461B7F"/>
    <w:rsid w:val="00466A5A"/>
    <w:rsid w:val="004823DF"/>
    <w:rsid w:val="00491890"/>
    <w:rsid w:val="004B3D01"/>
    <w:rsid w:val="004B5F41"/>
    <w:rsid w:val="004D59B8"/>
    <w:rsid w:val="004D6787"/>
    <w:rsid w:val="004D750D"/>
    <w:rsid w:val="004F54F5"/>
    <w:rsid w:val="00511165"/>
    <w:rsid w:val="00551E87"/>
    <w:rsid w:val="00562A7E"/>
    <w:rsid w:val="005745E9"/>
    <w:rsid w:val="005819EF"/>
    <w:rsid w:val="00581CB5"/>
    <w:rsid w:val="00584F9B"/>
    <w:rsid w:val="00594608"/>
    <w:rsid w:val="005C40CB"/>
    <w:rsid w:val="005C41F2"/>
    <w:rsid w:val="005C4282"/>
    <w:rsid w:val="005E7FC1"/>
    <w:rsid w:val="005F43E1"/>
    <w:rsid w:val="005F7636"/>
    <w:rsid w:val="00631F94"/>
    <w:rsid w:val="00632892"/>
    <w:rsid w:val="0064037E"/>
    <w:rsid w:val="00693BAA"/>
    <w:rsid w:val="006944EB"/>
    <w:rsid w:val="006D1726"/>
    <w:rsid w:val="006D2B2C"/>
    <w:rsid w:val="00707315"/>
    <w:rsid w:val="007104F3"/>
    <w:rsid w:val="00733138"/>
    <w:rsid w:val="00747919"/>
    <w:rsid w:val="00772010"/>
    <w:rsid w:val="0078155B"/>
    <w:rsid w:val="00793A8C"/>
    <w:rsid w:val="00797D4B"/>
    <w:rsid w:val="007C5A36"/>
    <w:rsid w:val="007D73BD"/>
    <w:rsid w:val="007E0069"/>
    <w:rsid w:val="007E2E29"/>
    <w:rsid w:val="007F0593"/>
    <w:rsid w:val="00800306"/>
    <w:rsid w:val="00821047"/>
    <w:rsid w:val="00861339"/>
    <w:rsid w:val="0087122C"/>
    <w:rsid w:val="00884836"/>
    <w:rsid w:val="00884907"/>
    <w:rsid w:val="008F2FEB"/>
    <w:rsid w:val="008F75EC"/>
    <w:rsid w:val="00902F06"/>
    <w:rsid w:val="009109A8"/>
    <w:rsid w:val="009115C7"/>
    <w:rsid w:val="00915349"/>
    <w:rsid w:val="0094144A"/>
    <w:rsid w:val="009454F5"/>
    <w:rsid w:val="00951927"/>
    <w:rsid w:val="009630F1"/>
    <w:rsid w:val="00964EA6"/>
    <w:rsid w:val="009A61BC"/>
    <w:rsid w:val="009B22A9"/>
    <w:rsid w:val="009C5B12"/>
    <w:rsid w:val="009F166E"/>
    <w:rsid w:val="00A05FAD"/>
    <w:rsid w:val="00A16167"/>
    <w:rsid w:val="00A23CE3"/>
    <w:rsid w:val="00A23FE3"/>
    <w:rsid w:val="00A32D99"/>
    <w:rsid w:val="00A452BB"/>
    <w:rsid w:val="00A85BB3"/>
    <w:rsid w:val="00A9378F"/>
    <w:rsid w:val="00A94930"/>
    <w:rsid w:val="00A970E5"/>
    <w:rsid w:val="00AA4710"/>
    <w:rsid w:val="00AC48C4"/>
    <w:rsid w:val="00AC4F96"/>
    <w:rsid w:val="00AC6407"/>
    <w:rsid w:val="00AE0D8F"/>
    <w:rsid w:val="00B01812"/>
    <w:rsid w:val="00B06A6A"/>
    <w:rsid w:val="00B214DB"/>
    <w:rsid w:val="00B364F9"/>
    <w:rsid w:val="00B372A1"/>
    <w:rsid w:val="00B55E8D"/>
    <w:rsid w:val="00B57E29"/>
    <w:rsid w:val="00B60663"/>
    <w:rsid w:val="00B767B4"/>
    <w:rsid w:val="00B90BD2"/>
    <w:rsid w:val="00B94F34"/>
    <w:rsid w:val="00BC5140"/>
    <w:rsid w:val="00BD6E71"/>
    <w:rsid w:val="00BD7627"/>
    <w:rsid w:val="00BF3B69"/>
    <w:rsid w:val="00C14C34"/>
    <w:rsid w:val="00C25635"/>
    <w:rsid w:val="00C40039"/>
    <w:rsid w:val="00C5434D"/>
    <w:rsid w:val="00C56CD1"/>
    <w:rsid w:val="00C81392"/>
    <w:rsid w:val="00C95F81"/>
    <w:rsid w:val="00CA3075"/>
    <w:rsid w:val="00CA41F1"/>
    <w:rsid w:val="00CB37EF"/>
    <w:rsid w:val="00CD328A"/>
    <w:rsid w:val="00CE1511"/>
    <w:rsid w:val="00CE1EEE"/>
    <w:rsid w:val="00CE2B90"/>
    <w:rsid w:val="00CE6D89"/>
    <w:rsid w:val="00D1568C"/>
    <w:rsid w:val="00D22ACC"/>
    <w:rsid w:val="00D32A2C"/>
    <w:rsid w:val="00D337D5"/>
    <w:rsid w:val="00D41F4A"/>
    <w:rsid w:val="00D72E53"/>
    <w:rsid w:val="00D73CA3"/>
    <w:rsid w:val="00D80425"/>
    <w:rsid w:val="00D929E5"/>
    <w:rsid w:val="00D92EFB"/>
    <w:rsid w:val="00DB6B95"/>
    <w:rsid w:val="00DC5176"/>
    <w:rsid w:val="00DD3AA1"/>
    <w:rsid w:val="00DE78D6"/>
    <w:rsid w:val="00DF474C"/>
    <w:rsid w:val="00E30ABE"/>
    <w:rsid w:val="00E376C6"/>
    <w:rsid w:val="00E37CA8"/>
    <w:rsid w:val="00E52A65"/>
    <w:rsid w:val="00E6756A"/>
    <w:rsid w:val="00E8000B"/>
    <w:rsid w:val="00E9587B"/>
    <w:rsid w:val="00EA0080"/>
    <w:rsid w:val="00EB47DF"/>
    <w:rsid w:val="00ED4282"/>
    <w:rsid w:val="00EF19AE"/>
    <w:rsid w:val="00F47EC2"/>
    <w:rsid w:val="00F51188"/>
    <w:rsid w:val="00F7740F"/>
    <w:rsid w:val="00F83978"/>
    <w:rsid w:val="00FB7384"/>
    <w:rsid w:val="00FF66AF"/>
    <w:rsid w:val="00F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stroke endarrow="block"/>
    </o:shapedefaults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0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81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D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4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9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9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60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600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819E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819EF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ody Text Indent"/>
    <w:basedOn w:val="a"/>
    <w:link w:val="Char2"/>
    <w:rsid w:val="00EA0080"/>
    <w:pPr>
      <w:ind w:firstLineChars="225" w:firstLine="63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正文文本缩进 Char"/>
    <w:basedOn w:val="a0"/>
    <w:link w:val="a8"/>
    <w:rsid w:val="00EA0080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4B86-9852-4373-BF89-02771D17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wangou</cp:lastModifiedBy>
  <cp:revision>6</cp:revision>
  <cp:lastPrinted>2016-05-09T02:54:00Z</cp:lastPrinted>
  <dcterms:created xsi:type="dcterms:W3CDTF">2016-10-29T18:51:00Z</dcterms:created>
  <dcterms:modified xsi:type="dcterms:W3CDTF">2016-11-14T02:20:00Z</dcterms:modified>
</cp:coreProperties>
</file>