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package.relationships+xml" PartName="/_rels/.rels"/>
  <Override ContentType="application/vnd.openxmlformats-package.relationships+xml" PartName="/customXml/_rels/customSection.xml.rels"/>
  <Override ContentType="application/vnd.openxmlformats-package.relationships+xml" PartName="/customXml/_rels/item1.xml.rels"/>
  <Override ContentType="application/vnd.openxmlformats-package.relationships+xml" PartName="/customXml/_rels/item2.xml.rels"/>
  <Override ContentType="application/vnd.openxmlformats-package.relationships+xml" PartName="/customXml/_rels/item3.xml.rels"/>
  <Override ContentType="application/vnd.openxmlformats-package.relationships+xml" PartName="/customXml/_rels/item4.xml.rels"/>
  <Override ContentType="application/xml" PartName="/customXml/item4.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settings.xml.rels"/>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package.relationships+xml" PartName="/word/glossary/_rels/document.xml.rels"/>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ackground w:color="FFFFFF"/>
  <w:body>
    <w:p>
      <w:pPr>
        <w:jc w:val="center"/>
        <w:rPr>
          <w:rFonts w:ascii="宋体" w:hAnsi="宋体"/>
          <w:b/>
          <w:sz w:val="28"/>
          <w:szCs w:val="28"/>
        </w:rPr>
      </w:pPr>
      <w:r>
        <w:rPr>
          <w:rFonts w:ascii="宋体" w:hAnsi="宋体" w:hint="eastAsia"/>
          <w:b/>
          <w:sz w:val="28"/>
          <w:szCs w:val="28"/>
        </w:rPr>
        <w:t xml:space="preserve">海鑫资产稳健收益1号私募证券投资基金2019年年度报告</w:t>
      </w:r>
    </w:p>
    <w:p>
      <w:pPr>
        <w:jc w:val="center"/>
        <w:rPr>
          <w:rFonts w:ascii="宋体" w:hAnsi="宋体"/>
          <w:b/>
          <w:sz w:val="28"/>
          <w:szCs w:val="28"/>
        </w:rPr>
      </w:pPr>
    </w:p>
    <w:p emptyAbove="1">
      <w:pPr gbicc:listString="1、" gbicc:numText="%1、" gbicc:numFmt="D" gbicc:numVal="1" gbicc:numId="11">
        <w:pStyle w:val="1"/>
        <w:numPr>
          <w:ilvl w:val="0"/>
          <w:numId w:val="11"/>
        </w:numPr>
        <w:rPr>
          <w:rFonts w:ascii="宋体" w:hAnsi="宋体"/>
        </w:rPr>
      </w:pPr>
      <w:bookmarkStart w:id="0" w:name="_Toc445130137"/>
      <w:r>
        <w:rPr>
          <w:rFonts w:ascii="宋体" w:hAnsi="宋体" w:hint="eastAsia"/>
        </w:rPr>
        <w:t>基金产品概况</w:t>
      </w:r>
      <w:bookmarkEnd w:id="0"/>
    </w:p>
    <!--_SEC_2caa6076e7e84b01b7a322dac158db70:START-->
    <w:p>
      <w:pPr gbicc:listString="1.1" gbicc:numText="1.%1" gbicc:numFmt="D" gbicc:numVal="1" gbicc:numId="10">
        <w:pStyle w:val="a7"/>
        <w:numPr>
          <w:ilvl w:val="0"/>
          <w:numId w:val="10"/>
        </w:numPr>
        <w:ind w:firstLineChars="0"/>
        <w:outlineLvl w:val="1"/>
        <w:rPr>
          <w:rFonts w:ascii="宋体" w:hAnsi="宋体"/>
          <w:szCs w:val="21"/>
        </w:rPr>
      </w:pPr>
      <w:r>
        <w:rPr>
          <w:rFonts w:ascii="宋体" w:hAnsi="宋体" w:hint="eastAsia"/>
          <w:szCs w:val="21"/>
        </w:rPr>
        <w:t>基金基本情况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Tr="001A7DC5">
        <w:tc>
          <w:tcPr>
            <w:tcW w:w="2500" w:type="pct"/>
          </w:tcPr>
          <w:p>
            <w:pPr>
              <w:rPr>
                <w:rFonts w:ascii="宋体" w:hAnsi="宋体"/>
                <w:szCs w:val="21"/>
              </w:rPr>
            </w:pPr>
            <w:r>
              <w:rPr>
                <w:rFonts w:ascii="宋体" w:hAnsi="宋体" w:hint="eastAsia"/>
                <w:szCs w:val="21"/>
              </w:rPr>
              <w:t>基金名称</w:t>
            </w:r>
          </w:p>
        </w:tc>
        <w:tc>
          <w:tcPr>
            <w:tcW w:w="2500" w:type="pct"/>
          </w:tcPr>
          <w:p>
            <w:pPr>
              <w:rPr>
                <w:rFonts w:ascii="宋体" w:hAnsi="宋体"/>
              </w:rPr>
            </w:pPr>
            <w:r>
              <w:rPr>
                <w:rFonts w:ascii="宋体" w:hAnsi="宋体"/>
              </w:rPr>
              <w:t xml:space="preserve">海鑫资产稳健收益1号私募证券投资基金</w:t>
            </w:r>
          </w:p>
        </w:tc>
      </w:tr>
      <w:tr w:rsidTr="001A7DC5">
        <w:tc>
          <w:tcPr>
            <w:tcW w:w="2500" w:type="pct"/>
          </w:tcPr>
          <w:p>
            <w:pPr>
              <w:rPr>
                <w:rFonts w:ascii="宋体" w:hAnsi="宋体"/>
                <w:szCs w:val="21"/>
              </w:rPr>
            </w:pPr>
            <w:r>
              <w:rPr>
                <w:rFonts w:ascii="宋体" w:hAnsi="宋体" w:hint="eastAsia"/>
                <w:szCs w:val="21"/>
              </w:rPr>
              <w:t>基金编号</w:t>
            </w:r>
          </w:p>
        </w:tc>
        <w:tc>
          <w:tcPr>
            <w:tcW w:w="2500" w:type="pct"/>
          </w:tcPr>
          <w:p>
            <w:pPr>
              <w:rPr>
                <w:rFonts w:ascii="宋体" w:hAnsi="宋体"/>
              </w:rPr>
            </w:pPr>
            <w:r>
              <w:rPr>
                <w:rFonts w:ascii="宋体" w:hAnsi="宋体"/>
              </w:rPr>
              <w:t xml:space="preserve">SL3715</w:t>
            </w:r>
          </w:p>
        </w:tc>
      </w:tr>
      <w:tr w:rsidTr="001A7DC5">
        <w:tc>
          <w:tcPr>
            <w:tcW w:w="2500" w:type="pct"/>
          </w:tcPr>
          <w:p>
            <w:pPr>
              <w:rPr>
                <w:rFonts w:ascii="宋体" w:hAnsi="宋体"/>
                <w:szCs w:val="21"/>
              </w:rPr>
            </w:pPr>
            <w:r>
              <w:rPr>
                <w:rFonts w:ascii="宋体" w:hAnsi="宋体" w:hint="eastAsia"/>
                <w:szCs w:val="21"/>
              </w:rPr>
              <w:t>基金运作方式</w:t>
            </w:r>
          </w:p>
        </w:tc>
        <w:tc>
          <w:tcPr>
            <w:tcW w:w="2500" w:type="pct"/>
          </w:tcPr>
          <w:p>
            <w:pPr>
              <w:rPr>
                <w:rFonts w:ascii="宋体" w:hAnsi="宋体"/>
              </w:rPr>
            </w:pPr>
            <w:r>
              <w:rPr>
                <w:rFonts w:ascii="宋体" w:hAnsi="宋体"/>
              </w:rPr>
              <w:t>开放式</w:t>
            </w:r>
          </w:p>
        </w:tc>
      </w:tr>
      <w:tr w:rsidTr="001A7DC5">
        <w:tc>
          <w:tcPr>
            <w:tcW w:w="2500" w:type="pct"/>
          </w:tcPr>
          <w:p>
            <w:pPr>
              <w:rPr>
                <w:rFonts w:ascii="宋体" w:hAnsi="宋体"/>
                <w:szCs w:val="21"/>
              </w:rPr>
            </w:pPr>
            <w:r>
              <w:rPr>
                <w:rFonts w:ascii="宋体" w:hAnsi="宋体" w:hint="eastAsia"/>
                <w:szCs w:val="21"/>
              </w:rPr>
              <w:t>基金成立日期</w:t>
            </w:r>
          </w:p>
        </w:tc>
        <w:tc>
          <w:tcPr>
            <w:tcW w:w="2500" w:type="pct"/>
          </w:tcPr>
          <w:p>
            <w:pPr>
              <w:rPr>
                <w:rFonts w:ascii="宋体" w:hAnsi="宋体"/>
              </w:rPr>
            </w:pPr>
            <w:r>
              <w:rPr>
                <w:rFonts w:ascii="宋体" w:hAnsi="宋体"/>
              </w:rPr>
              <w:t xml:space="preserve">2016年7月22日</w:t>
            </w:r>
          </w:p>
        </w:tc>
      </w:tr>
      <w:tr w:rsidTr="001A7DC5">
        <w:tc>
          <w:tcPr>
            <w:tcW w:w="2500" w:type="pct"/>
          </w:tcPr>
          <w:p>
            <w:pPr>
              <w:rPr>
                <w:rFonts w:ascii="宋体" w:hAnsi="宋体"/>
                <w:szCs w:val="21"/>
              </w:rPr>
            </w:pPr>
            <w:r>
              <w:rPr>
                <w:rFonts w:ascii="宋体" w:hAnsi="宋体" w:hint="eastAsia"/>
                <w:szCs w:val="21"/>
              </w:rPr>
              <w:t>基金管理人</w:t>
            </w:r>
          </w:p>
        </w:tc>
        <w:tc>
          <w:tcPr>
            <w:tcW w:w="2500" w:type="pct"/>
          </w:tcPr>
          <w:p>
            <w:pPr>
              <w:rPr>
                <w:rFonts w:ascii="宋体" w:hAnsi="宋体"/>
              </w:rPr>
            </w:pPr>
            <w:r>
              <w:rPr>
                <w:rFonts w:ascii="宋体" w:hAnsi="宋体"/>
              </w:rPr>
              <w:t xml:space="preserve">北京海鑫资产管理有限公司</w:t>
            </w:r>
          </w:p>
        </w:tc>
      </w:tr>
      <w:tr w:rsidTr="001A7DC5">
        <w:tc>
          <w:tcPr>
            <w:tcW w:w="2500" w:type="pct"/>
          </w:tcPr>
          <w:p>
            <w:pPr>
              <w:rPr>
                <w:rFonts w:ascii="宋体" w:hAnsi="宋体"/>
                <w:szCs w:val="21"/>
              </w:rPr>
            </w:pPr>
            <w:r>
              <w:rPr>
                <w:rFonts w:ascii="宋体" w:hAnsi="宋体" w:hint="eastAsia"/>
                <w:szCs w:val="21"/>
              </w:rPr>
              <w:t>基金托管人（如有）</w:t>
            </w:r>
          </w:p>
        </w:tc>
        <w:tc>
          <w:tcPr>
            <w:tcW w:w="2500" w:type="pct"/>
          </w:tcPr>
          <w:p>
            <w:pPr>
              <w:rPr>
                <w:rFonts w:ascii="宋体" w:hAnsi="宋体"/>
              </w:rPr>
            </w:pPr>
            <w:r>
              <w:rPr>
                <w:rFonts w:ascii="宋体" w:hAnsi="宋体"/>
              </w:rPr>
              <w:t xml:space="preserve">中信建投证券股份有限公司</w:t>
            </w:r>
          </w:p>
        </w:tc>
      </w:tr>
      <w:tr w:rsidTr="001A7DC5">
        <w:tc>
          <w:tcPr>
            <w:tcW w:w="2500" w:type="pct"/>
          </w:tcPr>
          <w:p>
            <w:pPr>
              <w:rPr>
                <w:rFonts w:ascii="宋体" w:hAnsi="宋体"/>
                <w:szCs w:val="21"/>
              </w:rPr>
            </w:pPr>
            <w:r>
              <w:rPr>
                <w:rFonts w:ascii="宋体" w:hAnsi="宋体" w:hint="eastAsia"/>
                <w:szCs w:val="21"/>
              </w:rPr>
              <w:t>投资顾问（如有）</w:t>
            </w:r>
          </w:p>
        </w:tc>
        <w:tc>
          <w:tcPr>
            <w:tcW w:w="2500" w:type="pct"/>
          </w:tcPr>
          <w:p>
            <w:pPr>
              <w:rPr>
                <w:rFonts w:ascii="宋体" w:hAnsi="宋体"/>
              </w:rPr>
            </w:pPr>
            <w:r>
              <w:rPr>
                <w:rFonts w:ascii="宋体" w:hAnsi="宋体"/>
              </w:rPr>
              <w:t xml:space="preserve">-</w:t>
            </w:r>
          </w:p>
        </w:tc>
      </w:tr>
      <w:tr w:rsidTr="001A7DC5">
        <w:tc>
          <w:tcPr>
            <w:tcW w:w="2500" w:type="pct"/>
          </w:tcPr>
          <w:p>
            <w:pPr>
              <w:rPr>
                <w:rFonts w:ascii="宋体" w:hAnsi="宋体"/>
                <w:szCs w:val="21"/>
              </w:rPr>
            </w:pPr>
            <w:r>
              <w:rPr>
                <w:rFonts w:ascii="宋体" w:hAnsi="宋体" w:hint="eastAsia"/>
                <w:szCs w:val="21"/>
              </w:rPr>
              <w:t>报告期末基金份额总额</w:t>
            </w:r>
          </w:p>
        </w:tc>
        <w:tc>
          <w:tcPr>
            <w:tcW w:w="2500" w:type="pct"/>
          </w:tcPr>
          <w:p>
            <w:pPr>
              <w:rPr>
                <w:rFonts w:ascii="宋体" w:hAnsi="宋体"/>
              </w:rPr>
            </w:pPr>
            <w:r>
              <w:rPr>
                <w:rFonts w:ascii="宋体" w:hAnsi="宋体"/>
              </w:rPr>
              <w:t xml:space="preserve">10,000,000</w:t>
            </w:r>
          </w:p>
        </w:tc>
      </w:tr>
      <w:tr w:rsidTr="001A7DC5">
        <w:tc>
          <w:tcPr>
            <w:tcW w:w="2500" w:type="pct"/>
          </w:tcPr>
          <w:p>
            <w:pPr>
              <w:rPr>
                <w:rFonts w:ascii="宋体" w:hAnsi="宋体"/>
                <w:szCs w:val="21"/>
              </w:rPr>
            </w:pPr>
            <w:r>
              <w:rPr>
                <w:rFonts w:ascii="宋体" w:hAnsi="宋体" w:hint="eastAsia"/>
                <w:szCs w:val="21"/>
              </w:rPr>
              <w:t>基金到期日期</w:t>
            </w:r>
          </w:p>
        </w:tc>
        <w:tc>
          <w:tcPr>
            <w:tcW w:w="2500" w:type="pct"/>
          </w:tcPr>
          <w:p>
            <w:pPr>
              <w:rPr>
                <w:rFonts w:ascii="宋体" w:hAnsi="宋体"/>
              </w:rPr>
            </w:pPr>
            <w:r>
              <w:rPr>
                <w:rFonts w:ascii="宋体" w:hAnsi="宋体"/>
              </w:rPr>
              <w:t xml:space="preserve">2021年7月22日</w:t>
            </w:r>
          </w:p>
        </w:tc>
      </w:tr>
    </w:tbl>
    <w:p>
      <w:pPr>
        <w:rPr>
          <w:rFonts w:ascii="宋体" w:hAnsi="宋体"/>
          <w:szCs w:val="21"/>
        </w:rPr>
      </w:pPr>
    </w:p>
    <!--_SEC_2caa6076e7e84b01b7a322dac158db70:END-->
    <!--_SEC_01c3125863204666856b5550d2b18e75:START-->
    <w:p emptyAbove="1">
      <w:pPr gbicc:listString="1.2" gbicc:numText="1.%1" gbicc:numFmt="D" gbicc:numVal="2" gbicc:numId="10">
        <w:pStyle w:val="a7"/>
        <w:numPr>
          <w:ilvl w:val="0"/>
          <w:numId w:val="10"/>
        </w:numPr>
        <w:ind w:firstLineChars="0"/>
        <w:outlineLvl w:val="1"/>
        <w:rPr>
          <w:rFonts w:ascii="宋体" w:hAnsi="宋体"/>
          <w:szCs w:val="21"/>
        </w:rPr>
      </w:pPr>
      <w:r>
        <w:rPr>
          <w:rFonts w:ascii="宋体" w:hAnsi="宋体" w:hint="eastAsia"/>
          <w:szCs w:val="21"/>
        </w:rPr>
        <w:t>基金产品说明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Tr="0029143C">
        <w:tc>
          <w:tcPr>
            <w:tcW w:w="2500" w:type="pct"/>
          </w:tcPr>
          <w:p>
            <w:pPr>
              <w:rPr>
                <w:rFonts w:ascii="宋体" w:hAnsi="宋体"/>
                <w:szCs w:val="21"/>
              </w:rPr>
            </w:pPr>
            <w:r>
              <w:rPr>
                <w:rFonts w:ascii="宋体" w:hAnsi="宋体" w:hint="eastAsia"/>
                <w:szCs w:val="21"/>
              </w:rPr>
              <w:t>投资目标</w:t>
            </w:r>
          </w:p>
        </w:tc>
        <w:tc>
          <w:tcPr>
            <w:tcW w:w="2500" w:type="pct"/>
          </w:tcPr>
          <w:p>
            <w:pPr>
              <w:rPr>
                <w:rFonts w:ascii="宋体" w:hAnsi="宋体"/>
              </w:rPr>
            </w:pPr>
            <w:r>
              <w:rPr>
                <w:rFonts w:ascii="宋体" w:hAnsi="宋体"/>
              </w:rPr>
              <w:t xml:space="preserve">在严格控制投资风险的前提下，力争为基金投资者创造稳健的收益和回报。</w:t>
            </w:r>
          </w:p>
        </w:tc>
      </w:tr>
      <w:tr w:rsidTr="0029143C">
        <w:tc>
          <w:tcPr>
            <w:tcW w:w="2500" w:type="pct"/>
          </w:tcPr>
          <w:p>
            <w:pPr>
              <w:rPr>
                <w:rFonts w:ascii="宋体" w:hAnsi="宋体"/>
                <w:szCs w:val="21"/>
              </w:rPr>
            </w:pPr>
            <w:r>
              <w:rPr>
                <w:rFonts w:ascii="宋体" w:hAnsi="宋体" w:hint="eastAsia"/>
                <w:szCs w:val="21"/>
              </w:rPr>
              <w:t>投资策略</w:t>
            </w:r>
          </w:p>
        </w:tc>
        <w:tc>
          <w:tcPr>
            <w:tcW w:w="2500" w:type="pct"/>
          </w:tcPr>
          <w:p>
            <w:pPr>
              <w:rPr>
                <w:rFonts w:ascii="宋体" w:hAnsi="宋体"/>
              </w:rPr>
            </w:pPr>
            <w:r>
              <w:rPr>
                <w:rFonts w:ascii="宋体" w:hAnsi="宋体"/>
              </w:rPr>
              <w:t xml:space="preserve">通过构建债券组合，以长期持有获取红利为主，兼顾交易性机会博取利差。</w:t>
            </w:r>
          </w:p>
        </w:tc>
      </w:tr>
      <w:tr w:rsidTr="0029143C">
        <w:tc>
          <w:tcPr>
            <w:tcW w:w="2500" w:type="pct"/>
          </w:tcPr>
          <w:p>
            <w:pPr>
              <w:rPr>
                <w:rFonts w:ascii="宋体" w:hAnsi="宋体"/>
                <w:szCs w:val="21"/>
              </w:rPr>
            </w:pPr>
            <w:r>
              <w:rPr>
                <w:rFonts w:ascii="宋体" w:hAnsi="宋体" w:hint="eastAsia"/>
                <w:szCs w:val="21"/>
              </w:rPr>
              <w:t>业绩比较基准（如有）</w:t>
            </w:r>
          </w:p>
        </w:tc>
        <w:tc>
          <w:tcPr>
            <w:tcW w:w="2500" w:type="pct"/>
          </w:tcPr>
          <w:p>
            <w:pPr>
              <w:rPr>
                <w:rFonts w:ascii="宋体" w:hAnsi="宋体"/>
              </w:rPr>
            </w:pPr>
            <w:r>
              <w:rPr>
                <w:rFonts w:ascii="宋体" w:hAnsi="宋体"/>
              </w:rPr>
              <w:t xml:space="preserve">-</w:t>
            </w:r>
          </w:p>
        </w:tc>
      </w:tr>
      <w:tr w:rsidTr="0029143C">
        <w:tc>
          <w:tcPr>
            <w:tcW w:w="2500" w:type="pct"/>
          </w:tcPr>
          <w:p>
            <w:pPr>
              <w:rPr>
                <w:rFonts w:ascii="宋体" w:hAnsi="宋体"/>
                <w:szCs w:val="21"/>
              </w:rPr>
            </w:pPr>
            <w:r>
              <w:rPr>
                <w:rFonts w:ascii="宋体" w:hAnsi="宋体" w:hint="eastAsia"/>
                <w:szCs w:val="21"/>
              </w:rPr>
              <w:t>风险收益特征</w:t>
            </w:r>
          </w:p>
        </w:tc>
        <w:tc>
          <w:tcPr>
            <w:tcW w:w="2500" w:type="pct"/>
          </w:tcPr>
          <w:p>
            <w:pPr>
              <w:rPr>
                <w:rFonts w:ascii="宋体" w:hAnsi="宋体"/>
              </w:rPr>
            </w:pPr>
            <w:r>
              <w:rPr>
                <w:rFonts w:ascii="宋体" w:hAnsi="宋体"/>
              </w:rPr>
              <w:t xml:space="preserve">高风险高收益</w:t>
            </w:r>
          </w:p>
        </w:tc>
      </w:tr>
    </w:tbl>
    <w:p>
      <w:pPr>
        <w:rPr>
          <w:rFonts w:ascii="宋体" w:hAnsi="宋体"/>
          <w:szCs w:val="21"/>
        </w:rPr>
      </w:pPr>
    </w:p>
    <!--_SEC_01c3125863204666856b5550d2b18e75:END-->
    <!--_SEC_f643776472ec42e6b25e4ebdecf619f2:START-->
    <w:p emptyAbove="1">
      <w:pPr gbicc:listString="1.3" gbicc:numText="1.%1" gbicc:numFmt="D" gbicc:numVal="3" gbicc:numId="10">
        <w:pStyle w:val="a7"/>
        <w:numPr>
          <w:ilvl w:val="0"/>
          <w:numId w:val="10"/>
        </w:numPr>
        <w:ind w:firstLineChars="0"/>
        <w:outlineLvl w:val="1"/>
        <w:rPr>
          <w:rFonts w:ascii="宋体" w:hAnsi="宋体"/>
          <w:szCs w:val="21"/>
        </w:rPr>
      </w:pPr>
      <w:r>
        <w:rPr>
          <w:rFonts w:ascii="宋体" w:hAnsi="宋体" w:hint="eastAsia"/>
          <w:szCs w:val="21"/>
        </w:rPr>
        <w:t>基金管理人和基金托管人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173"/>
        <w:gridCol w:w="3136"/>
        <w:gridCol w:w="3150"/>
      </w:tblGrid>
      <w:tr w:rsidTr="009F4E66">
        <w:tc>
          <w:tcPr>
            <w:tcW w:w="1312" w:type="pct"/>
            <w:gridSpan w:val="2"/>
            <w:vAlign w:val="center"/>
          </w:tcPr>
          <w:p>
            <w:pPr>
              <w:jc w:val="center"/>
              <w:rPr>
                <w:rFonts w:ascii="宋体" w:hAnsi="宋体"/>
                <w:b/>
                <w:szCs w:val="21"/>
              </w:rPr>
            </w:pPr>
            <w:r>
              <w:rPr>
                <w:rFonts w:ascii="宋体" w:hAnsi="宋体" w:hint="eastAsia"/>
                <w:b/>
                <w:szCs w:val="21"/>
              </w:rPr>
              <w:t>项目</w:t>
            </w:r>
          </w:p>
        </w:tc>
        <w:tc>
          <w:tcPr>
            <w:tcW w:w="1840" w:type="pct"/>
            <w:vAlign w:val="center"/>
          </w:tcPr>
          <w:p>
            <w:pPr>
              <w:jc w:val="center"/>
              <w:rPr>
                <w:rFonts w:ascii="宋体" w:hAnsi="宋体"/>
                <w:b/>
                <w:szCs w:val="21"/>
              </w:rPr>
            </w:pPr>
            <w:r>
              <w:rPr>
                <w:rFonts w:ascii="宋体" w:hAnsi="宋体" w:hint="eastAsia"/>
                <w:b/>
                <w:szCs w:val="21"/>
              </w:rPr>
              <w:t>基金管理人</w:t>
            </w:r>
          </w:p>
        </w:tc>
        <w:tc>
          <w:tcPr>
            <w:tcW w:w="1848" w:type="pct"/>
            <w:vAlign w:val="center"/>
          </w:tcPr>
          <w:p>
            <w:pPr>
              <w:jc w:val="center"/>
              <w:rPr>
                <w:rFonts w:ascii="宋体" w:hAnsi="宋体"/>
                <w:b/>
                <w:szCs w:val="21"/>
              </w:rPr>
            </w:pPr>
            <w:r>
              <w:rPr>
                <w:rFonts w:ascii="宋体" w:hAnsi="宋体" w:hint="eastAsia"/>
                <w:b/>
                <w:szCs w:val="21"/>
              </w:rPr>
              <w:t>基金托管人</w:t>
            </w:r>
          </w:p>
        </w:tc>
      </w:tr>
      <w:tr w:rsidTr="009F4E66">
        <w:tc>
          <w:tcPr>
            <w:tcW w:w="1312" w:type="pct"/>
            <w:gridSpan w:val="2"/>
          </w:tcPr>
          <w:p>
            <w:pPr>
              <w:rPr>
                <w:rFonts w:ascii="宋体" w:hAnsi="宋体"/>
                <w:szCs w:val="21"/>
              </w:rPr>
            </w:pPr>
            <w:r>
              <w:rPr>
                <w:rFonts w:ascii="宋体" w:hAnsi="宋体" w:hint="eastAsia"/>
                <w:szCs w:val="21"/>
              </w:rPr>
              <w:t>名称</w:t>
            </w:r>
          </w:p>
        </w:tc>
        <w:tc>
          <w:tcPr>
            <w:tcW w:w="1840" w:type="pct"/>
          </w:tcPr>
          <w:p>
            <w:pPr>
              <w:rPr>
                <w:rFonts w:ascii="宋体" w:hAnsi="宋体"/>
              </w:rPr>
            </w:pPr>
            <w:r>
              <w:rPr>
                <w:rFonts w:ascii="宋体" w:hAnsi="宋体"/>
              </w:rPr>
              <w:t xml:space="preserve">北京海鑫资产管理有限公司</w:t>
            </w:r>
          </w:p>
        </w:tc>
        <w:tc>
          <w:tcPr>
            <w:tcW w:w="1848" w:type="pct"/>
          </w:tcPr>
          <w:p>
            <w:pPr>
              <w:rPr>
                <w:rFonts w:ascii="宋体" w:hAnsi="宋体"/>
              </w:rPr>
            </w:pPr>
            <w:r>
              <w:rPr>
                <w:rFonts w:ascii="宋体" w:hAnsi="宋体"/>
              </w:rPr>
              <w:t xml:space="preserve">中信建投证券股份有限公司</w:t>
            </w:r>
          </w:p>
        </w:tc>
      </w:tr>
      <w:tr w:rsidTr="009F4E66">
        <w:tc>
          <w:tcPr>
            <w:tcW w:w="624" w:type="pct"/>
            <w:vMerge w:val="restart"/>
            <w:vAlign w:val="center"/>
          </w:tcPr>
          <w:p>
            <w:pPr>
              <w:jc w:val="center"/>
              <w:rPr>
                <w:rFonts w:ascii="宋体" w:hAnsi="宋体"/>
                <w:szCs w:val="21"/>
              </w:rPr>
            </w:pPr>
            <w:r>
              <w:rPr>
                <w:rFonts w:ascii="宋体" w:hAnsi="宋体" w:hint="eastAsia"/>
                <w:szCs w:val="21"/>
              </w:rPr>
              <w:t>信息披露负责人</w:t>
            </w:r>
          </w:p>
        </w:tc>
        <w:tc>
          <w:tcPr>
            <w:tcW w:w="688" w:type="pct"/>
          </w:tcPr>
          <w:p>
            <w:pPr>
              <w:rPr>
                <w:rFonts w:ascii="宋体" w:hAnsi="宋体"/>
                <w:szCs w:val="21"/>
              </w:rPr>
            </w:pPr>
            <w:r>
              <w:rPr>
                <w:rFonts w:ascii="宋体" w:hAnsi="宋体" w:hint="eastAsia"/>
                <w:szCs w:val="21"/>
              </w:rPr>
              <w:t>姓名</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纪雅静</w:t>
            </w:r>
          </w:p>
        </w:tc>
      </w:tr>
      <w:tr w:rsidTr="009F4E66">
        <w:tc>
          <w:tcPr>
            <w:tcW w:w="624" w:type="pct"/>
            <w:vMerge/>
          </w:tcPr>
          <w:p>
            <w:pPr>
              <w:rPr>
                <w:rFonts w:ascii="宋体" w:hAnsi="宋体"/>
                <w:szCs w:val="21"/>
              </w:rPr>
            </w:pPr>
          </w:p>
        </w:tc>
        <w:tc>
          <w:tcPr>
            <w:tcW w:w="688" w:type="pct"/>
          </w:tcPr>
          <w:p>
            <w:pPr>
              <w:rPr>
                <w:rFonts w:ascii="宋体" w:hAnsi="宋体"/>
                <w:szCs w:val="21"/>
              </w:rPr>
            </w:pPr>
            <w:r>
              <w:rPr>
                <w:rFonts w:ascii="宋体" w:hAnsi="宋体" w:hint="eastAsia"/>
                <w:szCs w:val="21"/>
              </w:rPr>
              <w:t>联系电话</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010-86451131</w:t>
            </w:r>
          </w:p>
        </w:tc>
      </w:tr>
      <w:tr w:rsidTr="009F4E66">
        <w:tc>
          <w:tcPr>
            <w:tcW w:w="624" w:type="pct"/>
            <w:vMerge/>
          </w:tcPr>
          <w:p>
            <w:pPr>
              <w:rPr>
                <w:rFonts w:ascii="宋体" w:hAnsi="宋体"/>
                <w:szCs w:val="21"/>
              </w:rPr>
            </w:pPr>
          </w:p>
        </w:tc>
        <w:tc>
          <w:tcPr>
            <w:tcW w:w="688" w:type="pct"/>
          </w:tcPr>
          <w:p>
            <w:pPr>
              <w:rPr>
                <w:rFonts w:ascii="宋体" w:hAnsi="宋体"/>
                <w:szCs w:val="21"/>
              </w:rPr>
            </w:pPr>
            <w:r>
              <w:rPr>
                <w:rFonts w:ascii="宋体" w:hAnsi="宋体" w:hint="eastAsia"/>
                <w:szCs w:val="21"/>
              </w:rPr>
              <w:t>电子邮箱</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tgguzhi@csc.com.cn</w:t>
            </w:r>
          </w:p>
        </w:tc>
      </w:tr>
      <w:tr w:rsidTr="009F4E66">
        <w:tc>
          <w:tcPr>
            <w:tcW w:w="1312" w:type="pct"/>
            <w:gridSpan w:val="2"/>
          </w:tcPr>
          <w:p>
            <w:pPr>
              <w:rPr>
                <w:rFonts w:ascii="宋体" w:hAnsi="宋体"/>
                <w:szCs w:val="21"/>
              </w:rPr>
            </w:pPr>
            <w:r>
              <w:rPr>
                <w:rFonts w:ascii="宋体" w:hAnsi="宋体" w:hint="eastAsia"/>
                <w:szCs w:val="21"/>
              </w:rPr>
              <w:t>传真</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010-85130946</w:t>
            </w:r>
          </w:p>
        </w:tc>
      </w:tr>
      <w:tr w:rsidTr="009F4E66">
        <w:tc>
          <w:tcPr>
            <w:tcW w:w="1312" w:type="pct"/>
            <w:gridSpan w:val="2"/>
          </w:tcPr>
          <w:p>
            <w:pPr>
              <w:rPr>
                <w:rFonts w:ascii="宋体" w:hAnsi="宋体"/>
                <w:szCs w:val="21"/>
              </w:rPr>
            </w:pPr>
            <w:r>
              <w:rPr>
                <w:rFonts w:ascii="宋体" w:hAnsi="宋体" w:hint="eastAsia"/>
                <w:szCs w:val="21"/>
              </w:rPr>
              <w:t>注册地址</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北京市朝阳区安立路66号4号楼</w:t>
            </w:r>
          </w:p>
        </w:tc>
      </w:tr>
      <w:tr w:rsidTr="009F4E66">
        <w:tc>
          <w:tcPr>
            <w:tcW w:w="1312" w:type="pct"/>
            <w:gridSpan w:val="2"/>
          </w:tcPr>
          <w:p>
            <w:pPr>
              <w:rPr>
                <w:rFonts w:ascii="宋体" w:hAnsi="宋体"/>
                <w:szCs w:val="21"/>
              </w:rPr>
            </w:pPr>
            <w:r>
              <w:rPr>
                <w:rFonts w:ascii="宋体" w:hAnsi="宋体" w:hint="eastAsia"/>
                <w:szCs w:val="21"/>
              </w:rPr>
              <w:t>办公地址</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北京市东城区朝阳门内大街2号</w:t>
            </w:r>
          </w:p>
        </w:tc>
      </w:tr>
      <w:tr w:rsidTr="009F4E66">
        <w:tc>
          <w:tcPr>
            <w:tcW w:w="1312" w:type="pct"/>
            <w:gridSpan w:val="2"/>
          </w:tcPr>
          <w:p>
            <w:pPr>
              <w:rPr>
                <w:rFonts w:ascii="宋体" w:hAnsi="宋体"/>
                <w:szCs w:val="21"/>
              </w:rPr>
            </w:pPr>
            <w:r>
              <w:rPr>
                <w:rFonts w:ascii="宋体" w:hAnsi="宋体" w:hint="eastAsia"/>
                <w:szCs w:val="21"/>
              </w:rPr>
              <w:t>邮政编码</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100010</w:t>
            </w:r>
          </w:p>
        </w:tc>
      </w:tr>
      <w:tr w:rsidTr="009F4E66">
        <w:tc>
          <w:tcPr>
            <w:tcW w:w="1312" w:type="pct"/>
            <w:gridSpan w:val="2"/>
          </w:tcPr>
          <w:p>
            <w:pPr>
              <w:rPr>
                <w:rFonts w:ascii="宋体" w:hAnsi="宋体"/>
                <w:szCs w:val="21"/>
              </w:rPr>
            </w:pPr>
            <w:r>
              <w:rPr>
                <w:rFonts w:ascii="宋体" w:hAnsi="宋体" w:hint="eastAsia"/>
                <w:szCs w:val="21"/>
              </w:rPr>
              <w:t>法定代表人</w:t>
            </w:r>
          </w:p>
        </w:tc>
        <w:tc>
          <w:tcPr>
            <w:tcW w:w="1840" w:type="pct"/>
          </w:tcPr>
          <w:p>
            <w:pPr>
              <w:rPr>
                <w:rFonts w:ascii="宋体" w:hAnsi="宋体"/>
              </w:rPr>
            </w:pPr>
            <w:r>
              <w:rPr>
                <w:rFonts w:ascii="宋体" w:hAnsi="宋体"/>
              </w:rPr>
              <w:t xml:space="preserve">-</w:t>
            </w:r>
          </w:p>
        </w:tc>
        <w:tc>
          <w:tcPr>
            <w:tcW w:w="1848" w:type="pct"/>
          </w:tcPr>
          <w:p>
            <w:pPr>
              <w:rPr>
                <w:rFonts w:ascii="宋体" w:hAnsi="宋体"/>
              </w:rPr>
            </w:pPr>
            <w:r>
              <w:rPr>
                <w:rFonts w:ascii="宋体" w:hAnsi="宋体"/>
              </w:rPr>
              <w:t xml:space="preserve">王常青</w:t>
            </w:r>
          </w:p>
        </w:tc>
      </w:tr>
    </w:tbl>
    <w:p>
      <w:pPr>
        <w:rPr>
          <w:rFonts w:ascii="宋体" w:hAnsi="宋体"/>
          <w:szCs w:val="21"/>
        </w:rPr>
      </w:pPr>
    </w:p>
    <!--_SEC_f643776472ec42e6b25e4ebdecf619f2:END-->
    <!--_SEC_248f24fb971f4b47a2cee8c932b298df:START-->
    <w:p emptyAbove="1">
      <w:pPr gbicc:listString="1.4" gbicc:numText="1.%1" gbicc:numFmt="D" gbicc:numVal="4" gbicc:numId="10">
        <w:pStyle w:val="a7"/>
        <w:numPr>
          <w:ilvl w:val="0"/>
          <w:numId w:val="10"/>
        </w:numPr>
        <w:ind w:firstLineChars="0"/>
        <w:outlineLvl w:val="1"/>
        <w:rPr>
          <w:rFonts w:ascii="宋体" w:hAnsi="宋体"/>
          <w:szCs w:val="21"/>
        </w:rPr>
      </w:pPr>
      <w:r>
        <w:rPr>
          <w:rFonts w:ascii="宋体" w:hAnsi="宋体" w:hint="eastAsia"/>
          <w:szCs w:val="21"/>
        </w:rPr>
        <w:t>信息披露方式</w:t>
      </w:r>
    </w:p>
    <w:tbl>
      <w:tblPr>
        <w:tblStyle w:val="a5"/>
        <w:tblW w:w="0" w:type="auto"/>
        <w:tblLook w:val="04A0" w:firstRow="1" w:lastRow="0" w:firstColumn="1" w:lastColumn="0" w:noHBand="0" w:noVBand="1"/>
      </w:tblPr>
      <w:tblGrid>
        <w:gridCol w:w="8522"/>
      </w:tblGrid>
      <w:tr w:rsidTr="008B5E15">
        <w:tc>
          <w:tcPr>
            <w:tcW w:w="8522" w:type="dxa"/>
          </w:tcPr>
          <w:p>
            <w:pPr>
              <w:rPr>
                <w:rFonts w:ascii="宋体" w:hAnsi="宋体"/>
                <w:szCs w:val="21"/>
              </w:rPr>
            </w:pPr>
            <w:r>
              <w:rPr>
                <w:rFonts w:ascii="宋体" w:hAnsi="宋体" w:hint="eastAsia"/>
                <w:szCs w:val="21"/>
              </w:rPr>
              <w:t xml:space="preserve"/>
            </w:r>
          </w:p>
        </w:tc>
      </w:tr>
    </w:tbl>
    <w:p>
      <w:pPr>
        <w:rPr>
          <w:rFonts w:ascii="宋体" w:hAnsi="宋体"/>
          <w:szCs w:val="21"/>
        </w:rPr>
      </w:pPr>
    </w:p>
    <!--_SEC_248f24fb971f4b47a2cee8c932b298df:END-->
    <!--_SEC_bc3cd8a950dd49ccb3df989d61bdb900:START-->
    <w:p emptyAbove="1">
      <w:pPr gbicc:listString="1.5" gbicc:numText="1.%1" gbicc:numFmt="D" gbicc:numVal="5" gbicc:numId="10">
        <w:pStyle w:val="a7"/>
        <w:numPr>
          <w:ilvl w:val="0"/>
          <w:numId w:val="10"/>
        </w:numPr>
        <w:ind w:firstLineChars="0"/>
        <w:outlineLvl w:val="1"/>
        <w:rPr>
          <w:rFonts w:ascii="宋体" w:hAnsi="宋体"/>
          <w:szCs w:val="21"/>
        </w:rPr>
      </w:pPr>
      <w:r>
        <w:rPr>
          <w:rFonts w:ascii="宋体" w:hAnsi="宋体" w:hint="eastAsia"/>
          <w:szCs w:val="21"/>
        </w:rPr>
        <w:t>其他相关资料</w:t>
      </w:r>
      <w:r>
        <w:rPr>
          <w:rFonts w:ascii="宋体" w:hAnsi="宋体" w:hint="eastAsia"/>
          <w:szCs w:val="21"/>
        </w:rPr>
        <w:t>（如有）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Tr="00CD4472">
        <w:tc>
          <w:tcPr>
            <w:tcW w:w="1666" w:type="pct"/>
            <w:vAlign w:val="center"/>
          </w:tcPr>
          <w:p>
            <w:pPr>
              <w:jc w:val="center"/>
              <w:rPr>
                <w:rFonts w:ascii="宋体" w:hAnsi="宋体"/>
                <w:b/>
                <w:szCs w:val="21"/>
              </w:rPr>
            </w:pPr>
            <w:r>
              <w:rPr>
                <w:rFonts w:ascii="宋体" w:hAnsi="宋体" w:hint="eastAsia"/>
                <w:b/>
                <w:szCs w:val="21"/>
              </w:rPr>
              <w:t>项目</w:t>
            </w:r>
          </w:p>
        </w:tc>
        <w:tc>
          <w:tcPr>
            <w:tcW w:w="1667" w:type="pct"/>
            <w:vAlign w:val="center"/>
          </w:tcPr>
          <w:p>
            <w:pPr>
              <w:jc w:val="center"/>
              <w:rPr>
                <w:rFonts w:ascii="宋体" w:hAnsi="宋体"/>
                <w:b/>
                <w:szCs w:val="21"/>
              </w:rPr>
            </w:pPr>
            <w:r>
              <w:rPr>
                <w:rFonts w:ascii="宋体" w:hAnsi="宋体" w:hint="eastAsia"/>
                <w:b/>
                <w:szCs w:val="21"/>
              </w:rPr>
              <w:t>名称</w:t>
            </w:r>
          </w:p>
        </w:tc>
        <w:tc>
          <w:tcPr>
            <w:tcW w:w="1667" w:type="pct"/>
            <w:vAlign w:val="center"/>
          </w:tcPr>
          <w:p>
            <w:pPr>
              <w:jc w:val="center"/>
              <w:rPr>
                <w:rFonts w:ascii="宋体" w:hAnsi="宋体"/>
                <w:b/>
                <w:szCs w:val="21"/>
              </w:rPr>
            </w:pPr>
            <w:r>
              <w:rPr>
                <w:rFonts w:ascii="宋体" w:hAnsi="宋体" w:hint="eastAsia"/>
                <w:b/>
                <w:szCs w:val="21"/>
              </w:rPr>
              <w:t>办公地址</w:t>
            </w:r>
          </w:p>
        </w:tc>
      </w:tr>
      <w:tr w:rsidTr="00CD4472">
        <w:tc>
          <w:tcPr>
            <w:tcW w:w="1666" w:type="pct"/>
          </w:tcPr>
          <w:p>
            <w:pPr>
              <w:rPr>
                <w:rFonts w:ascii="宋体" w:hAnsi="宋体"/>
                <w:szCs w:val="21"/>
              </w:rPr>
            </w:pPr>
            <w:r>
              <w:rPr>
                <w:rFonts w:ascii="宋体" w:hAnsi="宋体" w:hint="eastAsia"/>
                <w:szCs w:val="21"/>
              </w:rPr>
              <w:t>会计师事务所</w:t>
            </w:r>
          </w:p>
        </w:tc>
        <w:tc>
          <w:tcPr>
            <w:tcW w:w="1667" w:type="pct"/>
          </w:tcPr>
          <w:p>
            <w:pPr>
              <w:rPr>
                <w:rFonts w:ascii="宋体" w:hAnsi="宋体"/>
                <w:szCs w:val="21"/>
              </w:rPr>
            </w:pPr>
            <w:r>
              <w:rPr>
                <w:rFonts w:ascii="宋体" w:hAnsi="宋体"/>
                <w:szCs w:val="21"/>
              </w:rPr>
              <w:t xml:space="preserve">-</w:t>
            </w:r>
          </w:p>
        </w:tc>
        <w:tc>
          <w:tcPr>
            <w:tcW w:w="1667" w:type="pct"/>
          </w:tcPr>
          <w:p>
            <w:pPr>
              <w:rPr>
                <w:rFonts w:ascii="宋体" w:hAnsi="宋体"/>
                <w:szCs w:val="21"/>
              </w:rPr>
            </w:pPr>
            <w:r>
              <w:rPr>
                <w:rFonts w:ascii="宋体" w:hAnsi="宋体"/>
                <w:szCs w:val="21"/>
              </w:rPr>
              <w:t xml:space="preserve">-</w:t>
            </w:r>
          </w:p>
        </w:tc>
      </w:tr>
      <w:tr w:rsidTr="00CD4472">
        <w:tc>
          <w:tcPr>
            <w:tcW w:w="1666" w:type="pct"/>
          </w:tcPr>
          <w:p>
            <w:pPr>
              <w:rPr>
                <w:rFonts w:ascii="宋体" w:hAnsi="宋体"/>
                <w:szCs w:val="21"/>
              </w:rPr>
            </w:pPr>
            <w:r>
              <w:rPr>
                <w:rFonts w:ascii="宋体" w:hAnsi="宋体" w:hint="eastAsia"/>
                <w:szCs w:val="21"/>
              </w:rPr>
              <w:lastRenderedPageBreak/>
              <w:t>注册登记机构</w:t>
            </w:r>
          </w:p>
        </w:tc>
        <w:tc>
          <w:tcPr>
            <w:tcW w:w="1667" w:type="pct"/>
          </w:tcPr>
          <w:p>
            <w:pPr>
              <w:rPr>
                <w:rFonts w:ascii="宋体" w:hAnsi="宋体"/>
                <w:szCs w:val="21"/>
              </w:rPr>
            </w:pPr>
            <w:r>
              <w:rPr>
                <w:rFonts w:ascii="宋体" w:hAnsi="宋体"/>
                <w:szCs w:val="21"/>
              </w:rPr>
              <w:t xml:space="preserve">中信建投证券股份有限公司</w:t>
            </w:r>
          </w:p>
        </w:tc>
        <w:tc>
          <w:tcPr>
            <w:tcW w:w="1667" w:type="pct"/>
          </w:tcPr>
          <w:p>
            <w:pPr>
              <w:rPr>
                <w:rFonts w:ascii="宋体" w:hAnsi="宋体"/>
                <w:szCs w:val="21"/>
              </w:rPr>
            </w:pPr>
            <w:r>
              <w:rPr>
                <w:rFonts w:ascii="宋体" w:hAnsi="宋体"/>
                <w:szCs w:val="21"/>
              </w:rPr>
              <w:t xml:space="preserve">北京市东城区朝阳门内大街2号</w:t>
            </w:r>
          </w:p>
        </w:tc>
      </w:tr>
      <w:tr w:rsidTr="00CD4472">
        <w:tc>
          <w:tcPr>
            <w:tcW w:w="1666" w:type="pct"/>
          </w:tcPr>
          <w:p>
            <w:pPr>
              <w:rPr>
                <w:rFonts w:ascii="宋体" w:hAnsi="宋体"/>
                <w:szCs w:val="21"/>
              </w:rPr>
            </w:pPr>
            <w:r>
              <w:rPr>
                <w:rFonts w:ascii="宋体" w:hAnsi="宋体" w:hint="eastAsia"/>
                <w:szCs w:val="21"/>
              </w:rPr>
              <w:t>外包机构</w:t>
            </w:r>
          </w:p>
        </w:tc>
        <w:tc>
          <w:tcPr>
            <w:tcW w:w="1667" w:type="pct"/>
          </w:tcPr>
          <w:p>
            <w:pPr>
              <w:rPr>
                <w:rFonts w:ascii="宋体" w:hAnsi="宋体"/>
                <w:szCs w:val="21"/>
              </w:rPr>
            </w:pPr>
            <w:r>
              <w:rPr>
                <w:rFonts w:ascii="宋体" w:hAnsi="宋体"/>
                <w:szCs w:val="21"/>
              </w:rPr>
              <w:t xml:space="preserve">中信建投证券股份有限公司</w:t>
            </w:r>
          </w:p>
        </w:tc>
        <w:tc>
          <w:tcPr>
            <w:tcW w:w="1667" w:type="pct"/>
          </w:tcPr>
          <w:p>
            <w:pPr>
              <w:rPr>
                <w:rFonts w:ascii="宋体" w:hAnsi="宋体"/>
                <w:szCs w:val="21"/>
              </w:rPr>
            </w:pPr>
            <w:r>
              <w:rPr>
                <w:rFonts w:ascii="宋体" w:hAnsi="宋体"/>
                <w:szCs w:val="21"/>
              </w:rPr>
              <w:t xml:space="preserve">北京市东城区朝阳门内大街2号</w:t>
            </w:r>
          </w:p>
        </w:tc>
      </w:tr>
      <w:tr w:rsidTr="00CD4472">
        <w:tc>
          <w:tcPr>
            <w:tcW w:w="1666" w:type="pct"/>
          </w:tcPr>
          <w:p>
            <w:pPr>
              <w:rPr>
                <w:rFonts w:ascii="宋体" w:hAnsi="宋体"/>
                <w:szCs w:val="21"/>
              </w:rPr>
            </w:pPr>
            <w:r>
              <w:rPr>
                <w:rFonts w:ascii="宋体" w:hAnsi="宋体" w:hint="eastAsia"/>
                <w:szCs w:val="21"/>
              </w:rPr>
              <w:t xml:space="preserve">-</w:t>
            </w:r>
          </w:p>
        </w:tc>
        <w:tc>
          <w:tcPr>
            <w:tcW w:w="1667" w:type="pct"/>
          </w:tcPr>
          <w:p>
            <w:pPr>
              <w:rPr>
                <w:rFonts w:ascii="宋体" w:hAnsi="宋体"/>
                <w:szCs w:val="21"/>
              </w:rPr>
            </w:pPr>
            <w:r>
              <w:rPr>
                <w:rFonts w:ascii="宋体" w:hAnsi="宋体"/>
                <w:szCs w:val="21"/>
              </w:rPr>
              <w:t xml:space="preserve">-</w:t>
            </w:r>
          </w:p>
        </w:tc>
        <w:tc>
          <w:tcPr>
            <w:tcW w:w="1667" w:type="pct"/>
          </w:tcPr>
          <w:p>
            <w:pPr>
              <w:rPr>
                <w:rFonts w:ascii="宋体" w:hAnsi="宋体"/>
                <w:szCs w:val="21"/>
              </w:rPr>
            </w:pPr>
            <w:r>
              <w:rPr>
                <w:rFonts w:ascii="宋体" w:hAnsi="宋体"/>
                <w:szCs w:val="21"/>
              </w:rPr>
              <w:t xml:space="preserve">-</w:t>
            </w:r>
          </w:p>
        </w:tc>
      </w:tr>
      <w:tr w:rsidTr="00CD4472">
        <w:tc>
          <w:tcPr>
            <w:tcW w:w="1666" w:type="pct"/>
          </w:tcPr>
          <w:p>
            <w:pPr>
              <w:rPr>
                <w:rFonts w:ascii="宋体" w:hAnsi="宋体"/>
                <w:szCs w:val="21"/>
              </w:rPr>
            </w:pPr>
            <w:r>
              <w:rPr>
                <w:rFonts w:ascii="宋体" w:hAnsi="宋体" w:hint="eastAsia"/>
                <w:szCs w:val="21"/>
              </w:rPr>
              <w:t xml:space="preserve">-</w:t>
            </w:r>
          </w:p>
        </w:tc>
        <w:tc>
          <w:tcPr>
            <w:tcW w:w="1667" w:type="pct"/>
          </w:tcPr>
          <w:p>
            <w:pPr>
              <w:rPr>
                <w:rFonts w:ascii="宋体" w:hAnsi="宋体"/>
                <w:szCs w:val="21"/>
              </w:rPr>
            </w:pPr>
            <w:r>
              <w:rPr>
                <w:rFonts w:ascii="宋体" w:hAnsi="宋体"/>
                <w:szCs w:val="21"/>
              </w:rPr>
              <w:t xml:space="preserve">-</w:t>
            </w:r>
          </w:p>
        </w:tc>
        <w:tc>
          <w:tcPr>
            <w:tcW w:w="1667" w:type="pct"/>
          </w:tcPr>
          <w:p>
            <w:pPr>
              <w:rPr>
                <w:rFonts w:ascii="宋体" w:hAnsi="宋体"/>
                <w:szCs w:val="21"/>
              </w:rPr>
            </w:pPr>
            <w:r>
              <w:rPr>
                <w:rFonts w:ascii="宋体" w:hAnsi="宋体"/>
                <w:szCs w:val="21"/>
              </w:rPr>
              <w:t xml:space="preserve">-</w:t>
            </w:r>
          </w:p>
        </w:tc>
      </w:tr>
    </w:tbl>
    <w:p>
      <w:pPr>
        <w:rPr>
          <w:rFonts w:ascii="宋体" w:hAnsi="宋体"/>
          <w:b/>
          <w:szCs w:val="21"/>
        </w:rPr>
      </w:pPr>
    </w:p>
    <!--_SEC_bc3cd8a950dd49ccb3df989d61bdb900:END-->
    <w:p emptyAbove="1">
      <w:pPr gbicc:listString="2、" gbicc:numText="%1、" gbicc:numFmt="D" gbicc:numVal="2" gbicc:numId="11">
        <w:pStyle w:val="1"/>
        <w:numPr>
          <w:ilvl w:val="0"/>
          <w:numId w:val="11"/>
        </w:numPr>
        <w:rPr>
          <w:rFonts w:ascii="宋体" w:hAnsi="宋体"/>
          <w:b w:val="0"/>
          <w:szCs w:val="21"/>
        </w:rPr>
      </w:pPr>
      <w:bookmarkStart w:id="1" w:name="_Toc445130138"/>
      <w:r>
        <w:rPr>
          <w:rFonts w:ascii="宋体" w:hAnsi="宋体" w:hint="eastAsia"/>
          <w:szCs w:val="21"/>
        </w:rPr>
        <w:t>主要</w:t>
      </w:r>
      <w:r>
        <w:rPr>
          <w:rFonts w:ascii="宋体" w:hAnsi="宋体" w:hint="eastAsia"/>
        </w:rPr>
        <w:t>财务</w:t>
      </w:r>
      <w:r>
        <w:rPr>
          <w:rFonts w:ascii="宋体" w:hAnsi="宋体" w:hint="eastAsia"/>
          <w:szCs w:val="21"/>
        </w:rPr>
        <w:t>指标、基金净值表现及利润分配情况</w:t>
      </w:r>
      <w:bookmarkEnd w:id="1"/>
    </w:p>
    <!--_SEC_4dcee1c4bcc04222a47e14c76ba58a4c:START-->
    <w:p>
      <w:pPr gbicc:listString="2.1" gbicc:numText="2.%1" gbicc:numFmt="D" gbicc:numVal="1" gbicc:numId="12">
        <w:pStyle w:val="a7"/>
        <w:numPr>
          <w:ilvl w:val="0"/>
          <w:numId w:val="12"/>
        </w:numPr>
        <w:ind w:firstLineChars="0"/>
        <w:outlineLvl w:val="1"/>
        <w:rPr>
          <w:rFonts w:ascii="宋体" w:hAnsi="宋体"/>
          <w:szCs w:val="21"/>
        </w:rPr>
      </w:pPr>
      <w:r>
        <w:rPr>
          <w:rFonts w:ascii="宋体" w:hAnsi="宋体" w:hint="eastAsia"/>
          <w:szCs w:val="21"/>
        </w:rPr>
        <w:t>主要会计数据和财务指标</w:t>
      </w:r>
    </w:p>
    <w:p>
      <w:pPr>
        <w:pStyle w:val="a7"/>
        <w:ind w:left="425" w:right="210" w:firstLineChars="0" w:firstLine="0"/>
        <w:jc w:val="right"/>
      </w:pPr>
      <w:r>
        <w:rPr>
          <w:rFonts w:hint="eastAsia"/>
        </w:rPr>
        <w:t>金额</w:t>
      </w:r>
      <w: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890"/>
        <w:gridCol w:w="1860"/>
        <w:gridCol w:w="1877"/>
      </w:tblGrid>
      <w:tr w:rsidTr="000C1BF6">
        <w:tc>
          <w:tcPr>
            <w:tcW w:w="1698" w:type="pct"/>
          </w:tcPr>
          <w:p>
            <w:pPr>
              <w:rPr>
                <w:rFonts w:ascii="宋体" w:hAnsi="宋体"/>
                <w:szCs w:val="21"/>
              </w:rPr>
            </w:pPr>
            <w:r>
              <w:rPr>
                <w:rFonts w:ascii="宋体" w:hAnsi="宋体" w:hint="eastAsia"/>
                <w:szCs w:val="21"/>
              </w:rPr>
              <w:t>期间数据和指标</w:t>
            </w:r>
          </w:p>
        </w:tc>
        <w:tc>
          <w:tcPr>
            <w:tcW w:w="1109" w:type="pct"/>
            <w:vAlign w:val="center"/>
          </w:tcPr>
          <w:p>
            <w:pPr>
              <w:jc w:val="center"/>
              <w:rPr>
                <w:rFonts w:ascii="宋体" w:hAnsi="宋体"/>
                <w:szCs w:val="21"/>
              </w:rPr>
            </w:pPr>
            <w:r>
              <w:rPr>
                <w:rFonts w:ascii="宋体" w:hAnsi="宋体" w:hint="eastAsia"/>
                <w:szCs w:val="21"/>
              </w:rPr>
              <w:t xml:space="preserve">2019</w:t>
            </w:r>
            <w:r>
              <w:rPr>
                <w:rFonts w:ascii="宋体" w:hAnsi="宋体" w:hint="eastAsia"/>
                <w:szCs w:val="21"/>
              </w:rPr>
              <w:t>年</w:t>
            </w:r>
          </w:p>
        </w:tc>
        <w:tc>
          <w:tcPr>
            <w:tcW w:w="1091" w:type="pct"/>
            <w:vAlign w:val="center"/>
          </w:tcPr>
          <w:p>
            <w:pPr>
              <w:jc w:val="center"/>
              <w:rPr>
                <w:rFonts w:ascii="宋体" w:hAnsi="宋体"/>
                <w:szCs w:val="21"/>
              </w:rPr>
            </w:pPr>
            <w:r>
              <w:rPr>
                <w:rFonts w:ascii="宋体" w:hAnsi="宋体" w:hint="eastAsia"/>
                <w:szCs w:val="21"/>
              </w:rPr>
              <w:t xml:space="preserve">2018</w:t>
            </w:r>
            <w:r>
              <w:rPr>
                <w:rFonts w:ascii="宋体" w:hAnsi="宋体" w:hint="eastAsia"/>
                <w:szCs w:val="21"/>
              </w:rPr>
              <w:t>年</w:t>
            </w:r>
          </w:p>
        </w:tc>
        <w:tc>
          <w:tcPr>
            <w:tcW w:w="1101" w:type="pct"/>
            <w:vAlign w:val="center"/>
          </w:tcPr>
          <w:p>
            <w:pPr>
              <w:jc w:val="center"/>
              <w:rPr>
                <w:rFonts w:ascii="宋体" w:hAnsi="宋体"/>
                <w:szCs w:val="21"/>
              </w:rPr>
            </w:pPr>
            <w:r>
              <w:rPr>
                <w:rFonts w:ascii="宋体" w:hAnsi="宋体" w:hint="eastAsia"/>
                <w:szCs w:val="21"/>
              </w:rPr>
              <w:t xml:space="preserve">2017</w:t>
            </w:r>
            <w:r>
              <w:rPr>
                <w:rFonts w:ascii="宋体" w:hAnsi="宋体" w:hint="eastAsia"/>
                <w:szCs w:val="21"/>
              </w:rPr>
              <w:t>年</w:t>
            </w:r>
          </w:p>
        </w:tc>
      </w:tr>
      <w:tr w:rsidTr="000C1BF6">
        <w:tc>
          <w:tcPr>
            <w:tcW w:w="1698" w:type="pct"/>
          </w:tcPr>
          <w:p>
            <w:pPr>
              <w:rPr>
                <w:rFonts w:ascii="宋体" w:hAnsi="宋体"/>
                <w:szCs w:val="21"/>
              </w:rPr>
            </w:pPr>
            <w:r>
              <w:rPr>
                <w:rFonts w:ascii="宋体" w:hAnsi="宋体" w:hint="eastAsia"/>
                <w:szCs w:val="21"/>
              </w:rPr>
              <w:t>本期已实现收益</w:t>
            </w:r>
          </w:p>
        </w:tc>
        <w:tc>
          <w:tcPr>
            <w:tcW w:w="1109" w:type="pct"/>
            <w:vAlign w:val="center"/>
          </w:tcPr>
          <w:p>
            <w:pPr>
              <w:jc w:val="right"/>
              <w:rPr>
                <w:rFonts w:ascii="宋体" w:hAnsi="宋体"/>
                <w:szCs w:val="21"/>
              </w:rPr>
            </w:pPr>
            <w:r>
              <w:rPr>
                <w:rFonts w:ascii="宋体" w:hAnsi="宋体"/>
                <w:szCs w:val="21"/>
              </w:rPr>
              <w:t xml:space="preserve">72,693.93</w:t>
            </w:r>
          </w:p>
        </w:tc>
        <w:tc>
          <w:tcPr>
            <w:tcW w:w="1091" w:type="pct"/>
            <w:vAlign w:val="center"/>
          </w:tcPr>
          <w:p>
            <w:pPr>
              <w:jc w:val="right"/>
              <w:rPr>
                <w:rFonts w:ascii="宋体" w:hAnsi="宋体"/>
                <w:szCs w:val="21"/>
              </w:rPr>
            </w:pPr>
            <w:r>
              <w:rPr>
                <w:rFonts w:ascii="宋体" w:hAnsi="宋体"/>
                <w:szCs w:val="21"/>
              </w:rPr>
              <w:t xml:space="preserve">122,110.86</w:t>
            </w:r>
          </w:p>
        </w:tc>
        <w:tc>
          <w:tcPr>
            <w:tcW w:w="1101" w:type="pct"/>
            <w:vAlign w:val="center"/>
          </w:tcPr>
          <w:p>
            <w:pPr>
              <w:jc w:val="right"/>
              <w:rPr>
                <w:rFonts w:ascii="宋体" w:hAnsi="宋体"/>
                <w:szCs w:val="21"/>
              </w:rPr>
            </w:pPr>
            <w:r>
              <w:rPr>
                <w:rFonts w:ascii="宋体" w:hAnsi="宋体"/>
                <w:szCs w:val="21"/>
              </w:rPr>
              <w:t xml:space="preserve">934,840.74</w:t>
            </w:r>
          </w:p>
        </w:tc>
      </w:tr>
      <w:tr w:rsidTr="000C1BF6">
        <w:tc>
          <w:tcPr>
            <w:tcW w:w="1698" w:type="pct"/>
          </w:tcPr>
          <w:p>
            <w:pPr>
              <w:rPr>
                <w:rFonts w:ascii="宋体" w:hAnsi="宋体"/>
                <w:szCs w:val="21"/>
              </w:rPr>
            </w:pPr>
            <w:r>
              <w:rPr>
                <w:rFonts w:ascii="宋体" w:hAnsi="宋体" w:hint="eastAsia"/>
                <w:szCs w:val="21"/>
              </w:rPr>
              <w:t>本期利润</w:t>
            </w:r>
          </w:p>
        </w:tc>
        <w:tc>
          <w:tcPr>
            <w:tcW w:w="1109" w:type="pct"/>
            <w:vAlign w:val="center"/>
          </w:tcPr>
          <w:p>
            <w:pPr>
              <w:jc w:val="right"/>
              <w:rPr>
                <w:rFonts w:ascii="宋体" w:hAnsi="宋体"/>
                <w:szCs w:val="21"/>
              </w:rPr>
            </w:pPr>
            <w:r>
              <w:rPr>
                <w:rFonts w:ascii="宋体" w:hAnsi="宋体"/>
                <w:szCs w:val="21"/>
              </w:rPr>
              <w:t xml:space="preserve">160,884.3</w:t>
            </w:r>
          </w:p>
        </w:tc>
        <w:tc>
          <w:tcPr>
            <w:tcW w:w="1091" w:type="pct"/>
            <w:vAlign w:val="center"/>
          </w:tcPr>
          <w:p>
            <w:pPr>
              <w:jc w:val="right"/>
              <w:rPr>
                <w:rFonts w:ascii="宋体" w:hAnsi="宋体"/>
                <w:szCs w:val="21"/>
              </w:rPr>
            </w:pPr>
            <w:r>
              <w:rPr>
                <w:rFonts w:ascii="宋体" w:hAnsi="宋体"/>
                <w:szCs w:val="21"/>
              </w:rPr>
              <w:t xml:space="preserve">405,120.63</w:t>
            </w:r>
          </w:p>
        </w:tc>
        <w:tc>
          <w:tcPr>
            <w:tcW w:w="1101" w:type="pct"/>
            <w:vAlign w:val="center"/>
          </w:tcPr>
          <w:p>
            <w:pPr>
              <w:jc w:val="right"/>
              <w:rPr>
                <w:rFonts w:ascii="宋体" w:hAnsi="宋体"/>
                <w:szCs w:val="21"/>
              </w:rPr>
            </w:pPr>
            <w:r>
              <w:rPr>
                <w:rFonts w:ascii="宋体" w:hAnsi="宋体"/>
                <w:szCs w:val="21"/>
              </w:rPr>
              <w:t xml:space="preserve">824,316.74</w:t>
            </w:r>
          </w:p>
        </w:tc>
      </w:tr>
      <w:tr w:rsidTr="000C1BF6">
        <w:tc>
          <w:tcPr>
            <w:tcW w:w="1698" w:type="pct"/>
          </w:tcPr>
          <w:p>
            <w:pPr>
              <w:rPr>
                <w:rFonts w:ascii="宋体" w:hAnsi="宋体"/>
                <w:szCs w:val="21"/>
              </w:rPr>
            </w:pPr>
            <w:r>
              <w:rPr>
                <w:rFonts w:ascii="宋体" w:hAnsi="宋体" w:hint="eastAsia"/>
                <w:szCs w:val="21"/>
              </w:rPr>
              <w:t>期末数据和指标</w:t>
            </w:r>
          </w:p>
        </w:tc>
        <w:tc>
          <w:tcPr>
            <w:tcW w:w="1109" w:type="pct"/>
            <w:vAlign w:val="center"/>
          </w:tcPr>
          <w:p>
            <w:pPr>
              <w:jc w:val="center"/>
              <w:rPr>
                <w:rFonts w:ascii="宋体" w:hAnsi="宋体"/>
                <w:szCs w:val="21"/>
              </w:rPr>
            </w:pPr>
            <w:r>
              <w:rPr>
                <w:rFonts w:ascii="宋体" w:hAnsi="宋体" w:hint="eastAsia"/>
                <w:szCs w:val="21"/>
              </w:rPr>
              <w:t xml:space="preserve">2019</w:t>
            </w:r>
            <w:r>
              <w:rPr>
                <w:rFonts w:ascii="宋体" w:hAnsi="宋体" w:hint="eastAsia"/>
                <w:szCs w:val="21"/>
              </w:rPr>
              <w:t>年末</w:t>
            </w:r>
          </w:p>
        </w:tc>
        <w:tc>
          <w:tcPr>
            <w:tcW w:w="1091" w:type="pct"/>
            <w:vAlign w:val="center"/>
          </w:tcPr>
          <w:p>
            <w:pPr>
              <w:jc w:val="center"/>
              <w:rPr>
                <w:rFonts w:ascii="宋体" w:hAnsi="宋体"/>
                <w:szCs w:val="21"/>
              </w:rPr>
            </w:pPr>
            <w:r>
              <w:rPr>
                <w:rFonts w:ascii="宋体" w:hAnsi="宋体" w:hint="eastAsia"/>
                <w:szCs w:val="21"/>
              </w:rPr>
              <w:t xml:space="preserve">2018</w:t>
            </w:r>
            <w:r>
              <w:rPr>
                <w:rFonts w:ascii="宋体" w:hAnsi="宋体" w:hint="eastAsia"/>
                <w:szCs w:val="21"/>
              </w:rPr>
              <w:t>年末</w:t>
            </w:r>
          </w:p>
        </w:tc>
        <w:tc>
          <w:tcPr>
            <w:tcW w:w="1101" w:type="pct"/>
            <w:vAlign w:val="center"/>
          </w:tcPr>
          <w:p>
            <w:pPr>
              <w:jc w:val="center"/>
              <w:rPr>
                <w:rFonts w:ascii="宋体" w:hAnsi="宋体"/>
                <w:szCs w:val="21"/>
              </w:rPr>
            </w:pPr>
            <w:r>
              <w:rPr>
                <w:rFonts w:ascii="宋体" w:hAnsi="宋体" w:hint="eastAsia"/>
                <w:szCs w:val="21"/>
              </w:rPr>
              <w:t xml:space="preserve">2017</w:t>
            </w:r>
            <w:r>
              <w:rPr>
                <w:rFonts w:ascii="宋体" w:hAnsi="宋体" w:hint="eastAsia"/>
                <w:szCs w:val="21"/>
              </w:rPr>
              <w:t>年末</w:t>
            </w:r>
          </w:p>
        </w:tc>
      </w:tr>
      <w:tr w:rsidTr="000C1BF6">
        <w:tc>
          <w:tcPr>
            <w:tcW w:w="1698" w:type="pct"/>
          </w:tcPr>
          <w:p>
            <w:pPr>
              <w:rPr>
                <w:rFonts w:ascii="宋体" w:hAnsi="宋体"/>
                <w:szCs w:val="21"/>
              </w:rPr>
            </w:pPr>
            <w:r>
              <w:rPr>
                <w:rFonts w:ascii="宋体" w:hAnsi="宋体" w:hint="eastAsia"/>
                <w:szCs w:val="21"/>
              </w:rPr>
              <w:t>期末可供分配利润</w:t>
            </w:r>
          </w:p>
        </w:tc>
        <w:tc>
          <w:tcPr>
            <w:tcW w:w="1109" w:type="pct"/>
            <w:vAlign w:val="center"/>
          </w:tcPr>
          <w:p>
            <w:pPr>
              <w:jc w:val="right"/>
              <w:rPr>
                <w:rFonts w:ascii="宋体" w:hAnsi="宋体"/>
                <w:szCs w:val="21"/>
              </w:rPr>
            </w:pPr>
            <w:r>
              <w:rPr>
                <w:rFonts w:ascii="宋体" w:hAnsi="宋体"/>
                <w:szCs w:val="21"/>
              </w:rPr>
              <w:t xml:space="preserve">844,261.91</w:t>
            </w:r>
          </w:p>
        </w:tc>
        <w:tc>
          <w:tcPr>
            <w:tcW w:w="1091" w:type="pct"/>
            <w:vAlign w:val="center"/>
          </w:tcPr>
          <w:p>
            <w:pPr>
              <w:jc w:val="right"/>
              <w:rPr>
                <w:rFonts w:ascii="宋体" w:hAnsi="宋体"/>
                <w:szCs w:val="21"/>
              </w:rPr>
            </w:pPr>
            <w:r>
              <w:rPr>
                <w:rFonts w:ascii="宋体" w:hAnsi="宋体"/>
                <w:szCs w:val="21"/>
              </w:rPr>
              <w:t xml:space="preserve">771,567.98</w:t>
            </w:r>
          </w:p>
        </w:tc>
        <w:tc>
          <w:tcPr>
            <w:tcW w:w="1101" w:type="pct"/>
            <w:vAlign w:val="center"/>
          </w:tcPr>
          <w:p>
            <w:pPr>
              <w:jc w:val="right"/>
              <w:rPr>
                <w:rFonts w:ascii="宋体" w:hAnsi="宋体"/>
                <w:szCs w:val="21"/>
              </w:rPr>
            </w:pPr>
            <w:r>
              <w:rPr>
                <w:rFonts w:ascii="宋体" w:hAnsi="宋体"/>
                <w:szCs w:val="21"/>
              </w:rPr>
              <w:t xml:space="preserve">784,901.45</w:t>
            </w:r>
          </w:p>
        </w:tc>
      </w:tr>
      <w:tr w:rsidTr="000C1BF6">
        <w:tc>
          <w:tcPr>
            <w:tcW w:w="1698" w:type="pct"/>
          </w:tcPr>
          <w:p>
            <w:pPr>
              <w:rPr>
                <w:rFonts w:ascii="宋体" w:hAnsi="宋体"/>
                <w:szCs w:val="21"/>
              </w:rPr>
            </w:pPr>
            <w:r>
              <w:rPr>
                <w:rFonts w:ascii="宋体" w:hAnsi="宋体" w:hint="eastAsia"/>
                <w:szCs w:val="21"/>
              </w:rPr>
              <w:t>期末可供分配基金份额利润</w:t>
            </w:r>
          </w:p>
        </w:tc>
        <w:tc>
          <w:tcPr>
            <w:tcW w:w="1109" w:type="pct"/>
            <w:vAlign w:val="center"/>
          </w:tcPr>
          <w:p>
            <w:pPr>
              <w:jc w:val="right"/>
              <w:rPr>
                <w:rFonts w:ascii="宋体" w:hAnsi="宋体"/>
                <w:szCs w:val="21"/>
              </w:rPr>
            </w:pPr>
            <w:r>
              <w:rPr>
                <w:rFonts w:ascii="宋体" w:hAnsi="宋体"/>
                <w:szCs w:val="21"/>
              </w:rPr>
              <w:t xml:space="preserve">0.0844</w:t>
            </w:r>
          </w:p>
        </w:tc>
        <w:tc>
          <w:tcPr>
            <w:tcW w:w="1091" w:type="pct"/>
            <w:vAlign w:val="center"/>
          </w:tcPr>
          <w:p>
            <w:pPr>
              <w:jc w:val="right"/>
              <w:rPr>
                <w:rFonts w:ascii="宋体" w:hAnsi="宋体"/>
                <w:szCs w:val="21"/>
              </w:rPr>
            </w:pPr>
            <w:r>
              <w:rPr>
                <w:rFonts w:ascii="宋体" w:hAnsi="宋体"/>
                <w:szCs w:val="21"/>
              </w:rPr>
              <w:t xml:space="preserve">0.0772</w:t>
            </w:r>
          </w:p>
        </w:tc>
        <w:tc>
          <w:tcPr>
            <w:tcW w:w="1101" w:type="pct"/>
            <w:vAlign w:val="center"/>
          </w:tcPr>
          <w:p>
            <w:pPr>
              <w:jc w:val="right"/>
              <w:rPr>
                <w:rFonts w:ascii="宋体" w:hAnsi="宋体"/>
                <w:szCs w:val="21"/>
              </w:rPr>
            </w:pPr>
            <w:r>
              <w:rPr>
                <w:rFonts w:ascii="宋体" w:hAnsi="宋体"/>
                <w:szCs w:val="21"/>
              </w:rPr>
              <w:t xml:space="preserve">0.0598</w:t>
            </w:r>
          </w:p>
        </w:tc>
      </w:tr>
      <w:tr w:rsidTr="000C1BF6">
        <w:tc>
          <w:tcPr>
            <w:tcW w:w="1698" w:type="pct"/>
          </w:tcPr>
          <w:p>
            <w:pPr>
              <w:rPr>
                <w:rFonts w:ascii="宋体" w:hAnsi="宋体"/>
                <w:szCs w:val="21"/>
              </w:rPr>
            </w:pPr>
            <w:r>
              <w:rPr>
                <w:rFonts w:ascii="宋体" w:hAnsi="宋体" w:hint="eastAsia"/>
                <w:szCs w:val="21"/>
              </w:rPr>
              <w:t>期末基金资产净值</w:t>
            </w:r>
          </w:p>
        </w:tc>
        <w:tc>
          <w:tcPr>
            <w:tcW w:w="1109" w:type="pct"/>
            <w:vAlign w:val="center"/>
          </w:tcPr>
          <w:p>
            <w:pPr>
              <w:jc w:val="right"/>
              <w:rPr>
                <w:rFonts w:ascii="宋体" w:hAnsi="宋体"/>
                <w:szCs w:val="21"/>
              </w:rPr>
            </w:pPr>
            <w:r>
              <w:rPr>
                <w:rFonts w:ascii="宋体" w:hAnsi="宋体"/>
                <w:szCs w:val="21"/>
              </w:rPr>
              <w:t xml:space="preserve">11,117,612.55</w:t>
            </w:r>
          </w:p>
        </w:tc>
        <w:tc>
          <w:tcPr>
            <w:tcW w:w="1091" w:type="pct"/>
            <w:vAlign w:val="center"/>
          </w:tcPr>
          <w:p>
            <w:pPr>
              <w:jc w:val="right"/>
              <w:rPr>
                <w:rFonts w:ascii="宋体" w:hAnsi="宋体"/>
                <w:szCs w:val="21"/>
              </w:rPr>
            </w:pPr>
            <w:r>
              <w:rPr>
                <w:rFonts w:ascii="宋体" w:hAnsi="宋体"/>
                <w:szCs w:val="21"/>
              </w:rPr>
              <w:t xml:space="preserve">10,956,728.25</w:t>
            </w:r>
          </w:p>
        </w:tc>
        <w:tc>
          <w:tcPr>
            <w:tcW w:w="1101" w:type="pct"/>
            <w:vAlign w:val="center"/>
          </w:tcPr>
          <w:p>
            <w:pPr>
              <w:jc w:val="right"/>
              <w:rPr>
                <w:rFonts w:ascii="宋体" w:hAnsi="宋体"/>
                <w:szCs w:val="21"/>
              </w:rPr>
            </w:pPr>
            <w:r>
              <w:rPr>
                <w:rFonts w:ascii="宋体" w:hAnsi="宋体"/>
                <w:szCs w:val="21"/>
              </w:rPr>
              <w:t xml:space="preserve">13,913,622.33</w:t>
            </w:r>
          </w:p>
        </w:tc>
      </w:tr>
      <w:tr w:rsidTr="000C1BF6">
        <w:tc>
          <w:tcPr>
            <w:tcW w:w="1698" w:type="pct"/>
          </w:tcPr>
          <w:p>
            <w:pPr>
              <w:rPr>
                <w:rFonts w:ascii="宋体" w:hAnsi="宋体"/>
                <w:szCs w:val="21"/>
              </w:rPr>
            </w:pPr>
            <w:r>
              <w:rPr>
                <w:rFonts w:ascii="宋体" w:hAnsi="宋体" w:hint="eastAsia"/>
                <w:szCs w:val="21"/>
              </w:rPr>
              <w:t>期末基金份额净值</w:t>
            </w:r>
          </w:p>
        </w:tc>
        <w:tc>
          <w:tcPr>
            <w:tcW w:w="1109" w:type="pct"/>
            <w:vAlign w:val="center"/>
          </w:tcPr>
          <w:p>
            <w:pPr>
              <w:jc w:val="right"/>
              <w:rPr>
                <w:rFonts w:ascii="宋体" w:hAnsi="宋体"/>
                <w:szCs w:val="21"/>
              </w:rPr>
            </w:pPr>
            <w:r>
              <w:rPr>
                <w:rFonts w:ascii="宋体" w:hAnsi="宋体"/>
                <w:szCs w:val="21"/>
              </w:rPr>
              <w:t xml:space="preserve">1.112</w:t>
            </w:r>
          </w:p>
        </w:tc>
        <w:tc>
          <w:tcPr>
            <w:tcW w:w="1091" w:type="pct"/>
            <w:vAlign w:val="center"/>
          </w:tcPr>
          <w:p>
            <w:pPr>
              <w:jc w:val="right"/>
              <w:rPr>
                <w:rFonts w:ascii="宋体" w:hAnsi="宋体"/>
                <w:szCs w:val="21"/>
              </w:rPr>
            </w:pPr>
            <w:r>
              <w:rPr>
                <w:rFonts w:ascii="宋体" w:hAnsi="宋体"/>
                <w:szCs w:val="21"/>
              </w:rPr>
              <w:t xml:space="preserve">1.096</w:t>
            </w:r>
          </w:p>
        </w:tc>
        <w:tc>
          <w:tcPr>
            <w:tcW w:w="1101" w:type="pct"/>
            <w:vAlign w:val="center"/>
          </w:tcPr>
          <w:p>
            <w:pPr>
              <w:jc w:val="right"/>
              <w:rPr>
                <w:rFonts w:ascii="宋体" w:hAnsi="宋体"/>
                <w:szCs w:val="21"/>
              </w:rPr>
            </w:pPr>
            <w:r>
              <w:rPr>
                <w:rFonts w:ascii="宋体" w:hAnsi="宋体"/>
                <w:szCs w:val="21"/>
              </w:rPr>
              <w:t xml:space="preserve">1.06</w:t>
            </w:r>
          </w:p>
        </w:tc>
      </w:tr>
      <w:tr w:rsidTr="000C1BF6">
        <w:tc>
          <w:tcPr>
            <w:tcW w:w="1698" w:type="pct"/>
          </w:tcPr>
          <w:p>
            <w:pPr>
              <w:rPr>
                <w:rFonts w:ascii="宋体" w:hAnsi="宋体"/>
                <w:szCs w:val="21"/>
              </w:rPr>
            </w:pPr>
            <w:r>
              <w:rPr>
                <w:rFonts w:ascii="宋体" w:hAnsi="宋体" w:hint="eastAsia"/>
                <w:szCs w:val="21"/>
              </w:rPr>
              <w:t>累计期末指标</w:t>
            </w:r>
          </w:p>
        </w:tc>
        <w:tc>
          <w:tcPr>
            <w:tcW w:w="1109" w:type="pct"/>
          </w:tcPr>
          <w:p>
            <w:pPr>
              <w:jc w:val="center"/>
              <w:rPr>
                <w:rFonts w:ascii="宋体" w:hAnsi="宋体"/>
                <w:szCs w:val="21"/>
              </w:rPr>
            </w:pPr>
            <w:r>
              <w:rPr>
                <w:rFonts w:ascii="宋体" w:hAnsi="宋体" w:hint="eastAsia"/>
                <w:szCs w:val="21"/>
              </w:rPr>
              <w:t xml:space="preserve">2019</w:t>
            </w:r>
            <w:r>
              <w:rPr>
                <w:rFonts w:ascii="宋体" w:hAnsi="宋体" w:hint="eastAsia"/>
                <w:szCs w:val="21"/>
              </w:rPr>
              <w:t>年末</w:t>
            </w:r>
          </w:p>
        </w:tc>
        <w:tc>
          <w:tcPr>
            <w:tcW w:w="1091" w:type="pct"/>
          </w:tcPr>
          <w:p>
            <w:pPr>
              <w:jc w:val="center"/>
              <w:rPr>
                <w:rFonts w:ascii="宋体" w:hAnsi="宋体"/>
                <w:szCs w:val="21"/>
              </w:rPr>
            </w:pPr>
            <w:r>
              <w:rPr>
                <w:rFonts w:ascii="宋体" w:hAnsi="宋体" w:hint="eastAsia"/>
                <w:szCs w:val="21"/>
              </w:rPr>
              <w:t xml:space="preserve">2018</w:t>
            </w:r>
            <w:r>
              <w:rPr>
                <w:rFonts w:ascii="宋体" w:hAnsi="宋体" w:hint="eastAsia"/>
                <w:szCs w:val="21"/>
              </w:rPr>
              <w:t>年末</w:t>
            </w:r>
          </w:p>
        </w:tc>
        <w:tc>
          <w:tcPr>
            <w:tcW w:w="1101" w:type="pct"/>
          </w:tcPr>
          <w:p>
            <w:pPr>
              <w:jc w:val="center"/>
              <w:rPr>
                <w:rFonts w:ascii="宋体" w:hAnsi="宋体"/>
                <w:szCs w:val="21"/>
              </w:rPr>
            </w:pPr>
            <w:r>
              <w:rPr>
                <w:rFonts w:ascii="宋体" w:hAnsi="宋体" w:hint="eastAsia"/>
                <w:szCs w:val="21"/>
              </w:rPr>
              <w:t xml:space="preserve">2017</w:t>
            </w:r>
            <w:r>
              <w:rPr>
                <w:rFonts w:ascii="宋体" w:hAnsi="宋体" w:hint="eastAsia"/>
                <w:szCs w:val="21"/>
              </w:rPr>
              <w:t>年末</w:t>
            </w:r>
          </w:p>
        </w:tc>
      </w:tr>
      <w:tr w:rsidTr="000C1BF6">
        <w:tc>
          <w:tcPr>
            <w:tcW w:w="1698" w:type="pct"/>
          </w:tcPr>
          <w:p>
            <w:pPr>
              <w:rPr>
                <w:rFonts w:ascii="宋体" w:hAnsi="宋体"/>
                <w:szCs w:val="21"/>
              </w:rPr>
            </w:pPr>
            <w:r>
              <w:rPr>
                <w:rFonts w:ascii="宋体" w:hAnsi="宋体" w:hint="eastAsia"/>
                <w:szCs w:val="21"/>
              </w:rPr>
              <w:t>基金份额累计净值增长率</w:t>
            </w:r>
            <w:r>
              <w:rPr>
                <w:rFonts w:ascii="宋体" w:hAnsi="宋体" w:hint="eastAsia"/>
                <w:szCs w:val="21"/>
              </w:rPr>
              <w:t>（%）</w:t>
            </w:r>
          </w:p>
        </w:tc>
        <w:tc>
          <w:tcPr>
            <w:tcW w:w="1109" w:type="pct"/>
          </w:tcPr>
          <w:p>
            <w:pPr>
              <w:jc w:val="right"/>
              <w:rPr>
                <w:rFonts w:ascii="宋体" w:hAnsi="宋体"/>
                <w:szCs w:val="21"/>
              </w:rPr>
            </w:pPr>
            <w:r>
              <w:rPr>
                <w:rFonts w:ascii="宋体" w:hAnsi="宋体"/>
                <w:szCs w:val="21"/>
              </w:rPr>
              <w:t xml:space="preserve">11.2</w:t>
            </w:r>
          </w:p>
        </w:tc>
        <w:tc>
          <w:tcPr>
            <w:tcW w:w="1091" w:type="pct"/>
          </w:tcPr>
          <w:p>
            <w:pPr>
              <w:jc w:val="right"/>
              <w:rPr>
                <w:rFonts w:ascii="宋体" w:hAnsi="宋体"/>
                <w:szCs w:val="21"/>
              </w:rPr>
            </w:pPr>
            <w:r>
              <w:rPr>
                <w:rFonts w:ascii="宋体" w:hAnsi="宋体"/>
                <w:szCs w:val="21"/>
              </w:rPr>
              <w:t xml:space="preserve">9.6</w:t>
            </w:r>
          </w:p>
        </w:tc>
        <w:tc>
          <w:tcPr>
            <w:tcW w:w="1101" w:type="pct"/>
          </w:tcPr>
          <w:p>
            <w:pPr>
              <w:jc w:val="right"/>
              <w:rPr>
                <w:rFonts w:ascii="宋体" w:hAnsi="宋体"/>
                <w:szCs w:val="21"/>
              </w:rPr>
            </w:pPr>
            <w:r>
              <w:rPr>
                <w:rFonts w:ascii="宋体" w:hAnsi="宋体"/>
                <w:szCs w:val="21"/>
              </w:rPr>
              <w:t xml:space="preserve">6</w:t>
            </w:r>
          </w:p>
        </w:tc>
      </w:tr>
    </w:tbl>
    <!--PH-->
    <w:p>
      <w:pPr>
        <w:rPr>
          <w:rFonts w:ascii="宋体" w:hAnsi="宋体"/>
          <w:szCs w:val="21"/>
        </w:rPr>
      </w:pPr>
    </w:p>
    <!--_SEC_4dcee1c4bcc04222a47e14c76ba58a4c:END-->
    <w:p emptyAbove="1">
      <w:pPr>
        <w:rPr>
          <w:rFonts w:ascii="宋体" w:hAnsi="宋体"/>
          <w:szCs w:val="21"/>
        </w:rPr>
      </w:pPr>
      <w:r>
        <w:rPr>
          <w:rFonts w:ascii="宋体" w:hAnsi="宋体" w:hint="eastAsia"/>
          <w:szCs w:val="21"/>
        </w:rPr>
        <w:fldChar w:fldCharType="begin"/>
      </w:r>
      <w:r>
        <w:rPr>
          <w:rFonts w:ascii="宋体" w:hAnsi="宋体" w:hint="eastAsia"/>
          <w:szCs w:val="21"/>
        </w:rPr>
        <w:instrText xml:space="preserve"> </w:instrText>
      </w:r>
      <w:r>
        <w:rPr>
          <w:rFonts w:ascii="宋体" w:hAnsi="宋体" w:hint="eastAsia"/>
          <w:szCs w:val="21"/>
        </w:rPr>
        <w:instrText>MACROBUTTON  SnrToggleCheckbox √无分级</w:instrText>
      </w:r>
      <w:r>
        <w:rPr>
          <w:rFonts w:ascii="宋体" w:hAnsi="宋体" w:hint="eastAsia"/>
          <w:szCs w:val="21"/>
        </w:rPr>
        <w:instrText xml:space="preserve"/>
      </w:r>
      <w:r>
        <w:rPr>
          <w:rFonts w:ascii="宋体" w:hAnsi="宋体" w:hint="eastAsia"/>
          <w:szCs w:val="21"/>
        </w:rPr>
        <w:fldChar w:fldCharType="end"/>
      </w:r>
      <w:r>
        <w:rPr>
          <w:rFonts w:ascii="宋体" w:hAnsi="宋体" w:hint="eastAsia"/>
          <w:szCs w:val="21"/>
        </w:rPr>
        <w:fldChar w:fldCharType="begin"/>
      </w:r>
      <w:r>
        <w:rPr>
          <w:rFonts w:ascii="宋体" w:hAnsi="宋体" w:hint="eastAsia"/>
          <w:szCs w:val="21"/>
        </w:rPr>
        <w:instrText xml:space="preserve"> MACROBUTTON  SnrToggleCheckbox □二级 </w:instrText>
      </w:r>
      <w:r>
        <w:rPr>
          <w:rFonts w:ascii="宋体" w:hAnsi="宋体" w:hint="eastAsia"/>
          <w:szCs w:val="21"/>
        </w:rPr>
        <w:fldChar w:fldCharType="end"/>
      </w:r>
      <w:r>
        <w:rPr>
          <w:rFonts w:ascii="宋体" w:hAnsi="宋体" w:hint="eastAsia"/>
          <w:szCs w:val="21"/>
        </w:rPr>
        <w:fldChar w:fldCharType="begin"/>
      </w:r>
      <w:r>
        <w:rPr>
          <w:rFonts w:ascii="宋体" w:hAnsi="宋体" w:hint="eastAsia"/>
          <w:szCs w:val="21"/>
        </w:rPr>
        <w:instrText xml:space="preserve"> MACROBUTTON  SnrToggleCheckbox □三级 </w:instrText>
      </w:r>
      <w:r>
        <w:rPr>
          <w:rFonts w:ascii="宋体" w:hAnsi="宋体" w:hint="eastAsia"/>
          <w:szCs w:val="21"/>
        </w:rPr>
        <w:fldChar w:fldCharType="end"/>
      </w:r>
    </w:p>
    <!--_SEC_6bd9ce3239b34b09a6e7bc122a08d6ad:START-->
    <!--_SEC_6bd9ce3239b34b09a6e7bc122a08d6ad:END-->
    <!--_SEC_c5a106f085294ffd99f513c5cfccd140:START-->
    <!--_SEC_c5a106f085294ffd99f513c5cfccd140:END-->
    <!--_SEC_4338c490f8034659ac2e63bd413624e9:START-->
    <!--_SEC_4338c490f8034659ac2e63bd413624e9:END-->
    <!--_SEC_b7b1fc75f9a649deaa9d3792fb5ebf52:START-->
    <w:p emptyAbove="1">
      <w:pPr gbicc:listString="2.2" gbicc:numText="2.%1" gbicc:numFmt="D" gbicc:numVal="2" gbicc:numId="12">
        <w:pStyle w:val="a7"/>
        <w:numPr>
          <w:ilvl w:val="0"/>
          <w:numId w:val="12"/>
        </w:numPr>
        <w:ind w:firstLineChars="0"/>
        <w:outlineLvl w:val="1"/>
        <w:rPr>
          <w:rFonts w:ascii="宋体" w:hAnsi="宋体"/>
          <w:szCs w:val="21"/>
        </w:rPr>
      </w:pPr>
      <w:r>
        <w:rPr>
          <w:rFonts w:ascii="宋体" w:hAnsi="宋体" w:hint="eastAsia"/>
          <w:szCs w:val="21"/>
        </w:rPr>
        <w:t>基金净值表现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95"/>
        <w:gridCol w:w="1986"/>
        <w:gridCol w:w="1841"/>
        <w:gridCol w:w="2035"/>
      </w:tblGrid>
      <w:tr w:rsidTr="0029143C">
        <w:tc>
          <w:tcPr>
            <w:tcW w:w="1365" w:type="dxa"/>
            <w:vAlign w:val="center"/>
          </w:tcPr>
          <w:p>
            <w:pPr>
              <w:jc w:val="center"/>
              <w:rPr>
                <w:rFonts w:ascii="宋体" w:hAnsi="宋体"/>
                <w:b/>
                <w:szCs w:val="21"/>
              </w:rPr>
            </w:pPr>
            <w:r>
              <w:rPr>
                <w:rFonts w:ascii="宋体" w:hAnsi="宋体" w:hint="eastAsia"/>
                <w:b/>
                <w:szCs w:val="21"/>
              </w:rPr>
              <w:t>阶段</w:t>
            </w:r>
          </w:p>
        </w:tc>
        <w:tc>
          <w:tcPr>
            <w:tcW w:w="1295" w:type="dxa"/>
            <w:vAlign w:val="center"/>
          </w:tcPr>
          <w:p>
            <w:pPr>
              <w:jc w:val="center"/>
              <w:rPr>
                <w:rFonts w:ascii="宋体" w:hAnsi="宋体"/>
                <w:b/>
                <w:szCs w:val="21"/>
              </w:rPr>
            </w:pPr>
            <w:r>
              <w:rPr>
                <w:rFonts w:ascii="宋体" w:hAnsi="宋体" w:hint="eastAsia"/>
                <w:b/>
                <w:szCs w:val="21"/>
              </w:rPr>
              <w:t>净值增长率（%）</w:t>
            </w:r>
          </w:p>
        </w:tc>
        <w:tc>
          <w:tcPr>
            <w:tcW w:w="1986" w:type="dxa"/>
            <w:vAlign w:val="center"/>
          </w:tcPr>
          <w:p>
            <w:pPr>
              <w:jc w:val="center"/>
              <w:rPr>
                <w:rFonts w:ascii="宋体" w:hAnsi="宋体"/>
                <w:b/>
                <w:szCs w:val="21"/>
              </w:rPr>
            </w:pPr>
            <w:r>
              <w:rPr>
                <w:rFonts w:ascii="宋体" w:hAnsi="宋体" w:hint="eastAsia"/>
                <w:b/>
                <w:szCs w:val="21"/>
              </w:rPr>
              <w:t>净值增长率标准差（%）</w:t>
            </w:r>
          </w:p>
        </w:tc>
        <w:tc>
          <w:tcPr>
            <w:tcW w:w="1841" w:type="dxa"/>
            <w:vAlign w:val="center"/>
          </w:tcPr>
          <w:p>
            <w:pPr>
              <w:jc w:val="center"/>
              <w:rPr>
                <w:rFonts w:ascii="宋体" w:hAnsi="宋体"/>
                <w:b/>
                <w:szCs w:val="21"/>
              </w:rPr>
            </w:pPr>
            <w:r>
              <w:rPr>
                <w:rFonts w:ascii="宋体" w:hAnsi="宋体" w:hint="eastAsia"/>
                <w:b/>
                <w:szCs w:val="21"/>
              </w:rPr>
              <w:t>业绩比较基准收益率（%）</w:t>
            </w:r>
          </w:p>
        </w:tc>
        <w:tc>
          <w:tcPr>
            <w:tcW w:w="2035" w:type="dxa"/>
          </w:tcPr>
          <w:p>
            <w:pPr>
              <w:jc w:val="center"/>
              <w:rPr>
                <w:rFonts w:ascii="宋体" w:hAnsi="宋体"/>
                <w:b/>
                <w:szCs w:val="21"/>
              </w:rPr>
            </w:pPr>
            <w:r>
              <w:rPr>
                <w:rFonts w:ascii="宋体" w:hAnsi="宋体" w:hint="eastAsia"/>
                <w:b/>
                <w:szCs w:val="21"/>
              </w:rPr>
              <w:t>业绩比较基准收益率标准差（%）</w:t>
            </w:r>
          </w:p>
        </w:tc>
      </w:tr>
      <w:tr w:rsidTr="0029143C">
        <w:tc>
          <w:tcPr>
            <w:tcW w:w="1365" w:type="dxa"/>
            <w:vAlign w:val="center"/>
          </w:tcPr>
          <w:p>
            <w:pPr>
              <w:jc w:val="left"/>
              <w:rPr>
                <w:rFonts w:ascii="宋体" w:hAnsi="宋体"/>
                <w:szCs w:val="21"/>
              </w:rPr>
            </w:pPr>
            <w:r>
              <w:rPr>
                <w:rFonts w:ascii="宋体" w:hAnsi="宋体" w:hint="eastAsia"/>
                <w:szCs w:val="21"/>
              </w:rPr>
              <w:t xml:space="preserve">当年</w:t>
            </w:r>
          </w:p>
        </w:tc>
        <w:tc>
          <w:tcPr>
            <w:tcW w:w="1295" w:type="dxa"/>
            <w:vAlign w:val="center"/>
          </w:tcPr>
          <w:p>
            <w:pPr>
              <w:jc w:val="right"/>
              <w:rPr>
                <w:rFonts w:ascii="宋体" w:hAnsi="宋体"/>
                <w:szCs w:val="21"/>
              </w:rPr>
            </w:pPr>
            <w:r>
              <w:rPr>
                <w:rFonts w:ascii="宋体" w:hAnsi="宋体"/>
                <w:szCs w:val="21"/>
              </w:rPr>
              <w:t xml:space="preserve">1.46</w:t>
            </w:r>
          </w:p>
        </w:tc>
        <w:tc>
          <w:tcPr>
            <w:tcW w:w="1986" w:type="dxa"/>
            <w:vAlign w:val="center"/>
          </w:tcPr>
          <w:p>
            <w:pPr>
              <w:jc w:val="right"/>
              <w:rPr>
                <w:rFonts w:ascii="宋体" w:hAnsi="宋体"/>
                <w:szCs w:val="21"/>
              </w:rPr>
            </w:pPr>
            <w:r>
              <w:rPr>
                <w:rFonts w:ascii="宋体" w:hAnsi="宋体"/>
                <w:szCs w:val="21"/>
              </w:rPr>
              <w:t xml:space="preserve">0</w:t>
            </w:r>
          </w:p>
        </w:tc>
        <w:tc>
          <w:tcPr>
            <w:tcW w:w="1841" w:type="dxa"/>
          </w:tcPr>
          <w:p>
            <w:pPr>
              <w:jc w:val="right"/>
              <w:rPr>
                <w:rFonts w:ascii="宋体" w:hAnsi="宋体"/>
                <w:szCs w:val="21"/>
              </w:rPr>
            </w:pPr>
            <w:r>
              <w:rPr>
                <w:rFonts w:ascii="宋体" w:hAnsi="宋体"/>
                <w:szCs w:val="21"/>
              </w:rPr>
              <w:t xml:space="preserve">0</w:t>
            </w:r>
          </w:p>
        </w:tc>
        <w:tc>
          <w:tcPr>
            <w:tcW w:w="2035" w:type="dxa"/>
          </w:tcPr>
          <w:p>
            <w:pPr>
              <w:jc w:val="right"/>
              <w:rPr>
                <w:rFonts w:ascii="宋体" w:hAnsi="宋体"/>
                <w:szCs w:val="21"/>
              </w:rPr>
            </w:pPr>
            <w:r>
              <w:rPr>
                <w:rFonts w:ascii="宋体" w:hAnsi="宋体"/>
                <w:szCs w:val="21"/>
              </w:rPr>
              <w:t xml:space="preserve">0</w:t>
            </w:r>
          </w:p>
        </w:tc>
      </w:tr>
      <w:tr w:rsidTr="0029143C">
        <w:tc>
          <w:tcPr>
            <w:tcW w:w="1365" w:type="dxa"/>
            <w:vAlign w:val="center"/>
          </w:tcPr>
          <w:p>
            <w:pPr>
              <w:jc w:val="left"/>
              <w:rPr>
                <w:rFonts w:ascii="宋体" w:hAnsi="宋体"/>
                <w:szCs w:val="21"/>
              </w:rPr>
            </w:pPr>
            <w:r>
              <w:rPr>
                <w:rFonts w:ascii="宋体" w:hAnsi="宋体" w:hint="eastAsia"/>
                <w:szCs w:val="21"/>
              </w:rPr>
              <w:t xml:space="preserve">自基金合同生效起至今</w:t>
            </w:r>
          </w:p>
        </w:tc>
        <w:tc>
          <w:tcPr>
            <w:tcW w:w="1295" w:type="dxa"/>
            <w:vAlign w:val="center"/>
          </w:tcPr>
          <w:p>
            <w:pPr>
              <w:jc w:val="right"/>
              <w:rPr>
                <w:rFonts w:ascii="宋体" w:hAnsi="宋体"/>
                <w:szCs w:val="21"/>
              </w:rPr>
            </w:pPr>
            <w:r>
              <w:rPr>
                <w:rFonts w:ascii="宋体" w:hAnsi="宋体"/>
                <w:szCs w:val="21"/>
              </w:rPr>
              <w:t xml:space="preserve">11.2</w:t>
            </w:r>
          </w:p>
        </w:tc>
        <w:tc>
          <w:tcPr>
            <w:tcW w:w="1986" w:type="dxa"/>
            <w:vAlign w:val="center"/>
          </w:tcPr>
          <w:p>
            <w:pPr>
              <w:jc w:val="right"/>
              <w:rPr>
                <w:rFonts w:ascii="宋体" w:hAnsi="宋体"/>
                <w:szCs w:val="21"/>
              </w:rPr>
            </w:pPr>
            <w:r>
              <w:rPr>
                <w:rFonts w:ascii="宋体" w:hAnsi="宋体"/>
                <w:szCs w:val="21"/>
              </w:rPr>
              <w:t xml:space="preserve">0</w:t>
            </w:r>
          </w:p>
        </w:tc>
        <w:tc>
          <w:tcPr>
            <w:tcW w:w="1841" w:type="dxa"/>
          </w:tcPr>
          <w:p>
            <w:pPr>
              <w:jc w:val="right"/>
              <w:rPr>
                <w:rFonts w:ascii="宋体" w:hAnsi="宋体"/>
                <w:szCs w:val="21"/>
              </w:rPr>
            </w:pPr>
            <w:r>
              <w:rPr>
                <w:rFonts w:ascii="宋体" w:hAnsi="宋体"/>
                <w:szCs w:val="21"/>
              </w:rPr>
              <w:t xml:space="preserve">0</w:t>
            </w:r>
          </w:p>
        </w:tc>
        <w:tc>
          <w:tcPr>
            <w:tcW w:w="2035" w:type="dxa"/>
          </w:tcPr>
          <w:p>
            <w:pPr>
              <w:jc w:val="right"/>
              <w:rPr>
                <w:rFonts w:ascii="宋体" w:hAnsi="宋体"/>
                <w:szCs w:val="21"/>
              </w:rPr>
            </w:pPr>
            <w:r>
              <w:rPr>
                <w:rFonts w:ascii="宋体" w:hAnsi="宋体"/>
                <w:szCs w:val="21"/>
              </w:rPr>
              <w:t xml:space="preserve">0</w:t>
            </w:r>
          </w:p>
        </w:tc>
      </w:tr>
    </w:tbl>
    <!--PH-->
    <w:p>
      <w:pPr>
        <w:rPr>
          <w:rFonts w:ascii="宋体" w:hAnsi="宋体"/>
          <w:szCs w:val="21"/>
        </w:rPr>
      </w:pPr>
    </w:p>
    <!--_SEC_b7b1fc75f9a649deaa9d3792fb5ebf52:END-->
    <!--_SEC_9bb44abc6fbb4142b8f7902b805b2eaf:START-->
    <!--_SEC_9bb44abc6fbb4142b8f7902b805b2eaf:END-->
    <!--_SEC_59938ca15fe34e9f9f5a93df91485dd1:START-->
    <!--_SEC_59938ca15fe34e9f9f5a93df91485dd1:END-->
    <!--_SEC_2fc327462e7f4931a8584dea2f2ec18d:START-->
    <w:p emptyAbove="1">
      <w:pPr gbicc:listString="2.3" gbicc:numText="2.%1" gbicc:numFmt="D" gbicc:numVal="3" gbicc:numId="12">
        <w:pStyle w:val="a7"/>
        <w:numPr>
          <w:ilvl w:val="0"/>
          <w:numId w:val="12"/>
        </w:numPr>
        <w:ind w:firstLineChars="0"/>
        <w:outlineLvl w:val="1"/>
        <w:rPr>
          <w:rFonts w:ascii="宋体" w:hAnsi="宋体"/>
          <w:szCs w:val="21"/>
        </w:rPr>
      </w:pPr>
      <w:r>
        <w:rPr>
          <w:rFonts w:ascii="宋体" w:hAnsi="宋体" w:hint="eastAsia"/>
          <w:szCs w:val="21"/>
        </w:rPr>
        <w:t>过去三年基金的利润分配情况</w:t>
      </w:r>
    </w:p>
    <w:p>
      <w:pPr>
        <w:jc w:val="right"/>
      </w:pPr>
      <w:r>
        <w:rPr>
          <w:rFonts w:hint="eastAsia"/>
        </w:rPr>
        <w:t>金额</w:t>
      </w:r>
      <w: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956"/>
        <w:gridCol w:w="1718"/>
        <w:gridCol w:w="1732"/>
        <w:gridCol w:w="1375"/>
        <w:gridCol w:w="895"/>
      </w:tblGrid>
      <w:tr w:rsidTr="009F4E66">
        <w:trPr>
          <w:jc w:val="center"/>
        </w:trPr>
        <w:tc>
          <w:tcPr>
            <w:tcW w:w="496" w:type="pct"/>
            <w:vAlign w:val="center"/>
          </w:tcPr>
          <w:p>
            <w:pPr>
              <w:jc w:val="center"/>
              <w:rPr>
                <w:rFonts w:ascii="宋体" w:hAnsi="宋体"/>
                <w:b/>
                <w:szCs w:val="21"/>
              </w:rPr>
            </w:pPr>
            <w:r>
              <w:rPr>
                <w:rFonts w:ascii="宋体" w:hAnsi="宋体" w:hint="eastAsia"/>
                <w:b/>
                <w:szCs w:val="21"/>
              </w:rPr>
              <w:t>年度</w:t>
            </w:r>
          </w:p>
        </w:tc>
        <w:tc>
          <w:tcPr>
            <w:tcW w:w="1148" w:type="pct"/>
            <w:vAlign w:val="center"/>
          </w:tcPr>
          <w:p>
            <w:pPr>
              <w:jc w:val="center"/>
              <w:rPr>
                <w:rFonts w:ascii="宋体" w:hAnsi="宋体"/>
                <w:b/>
                <w:szCs w:val="21"/>
              </w:rPr>
            </w:pPr>
            <w:r>
              <w:rPr>
                <w:rFonts w:ascii="宋体" w:hAnsi="宋体" w:hint="eastAsia"/>
                <w:b/>
                <w:szCs w:val="21"/>
              </w:rPr>
              <w:t>每份基金份额分红数</w:t>
            </w:r>
          </w:p>
        </w:tc>
        <w:tc>
          <w:tcPr>
            <w:tcW w:w="1008" w:type="pct"/>
            <w:vAlign w:val="center"/>
          </w:tcPr>
          <w:p>
            <w:pPr>
              <w:jc w:val="center"/>
              <w:rPr>
                <w:rFonts w:ascii="宋体" w:hAnsi="宋体"/>
                <w:b/>
                <w:szCs w:val="21"/>
              </w:rPr>
            </w:pPr>
            <w:r>
              <w:rPr>
                <w:rFonts w:ascii="宋体" w:hAnsi="宋体" w:hint="eastAsia"/>
                <w:b/>
                <w:szCs w:val="21"/>
              </w:rPr>
              <w:t>现金形式发放总额</w:t>
            </w:r>
          </w:p>
        </w:tc>
        <w:tc>
          <w:tcPr>
            <w:tcW w:w="1016" w:type="pct"/>
            <w:vAlign w:val="center"/>
          </w:tcPr>
          <w:p>
            <w:pPr>
              <w:jc w:val="center"/>
              <w:rPr>
                <w:rFonts w:ascii="宋体" w:hAnsi="宋体"/>
                <w:b/>
                <w:szCs w:val="21"/>
              </w:rPr>
            </w:pPr>
            <w:r>
              <w:rPr>
                <w:rFonts w:ascii="宋体" w:hAnsi="宋体" w:hint="eastAsia"/>
                <w:b/>
                <w:szCs w:val="21"/>
              </w:rPr>
              <w:t>再投资形式发放总额</w:t>
            </w:r>
          </w:p>
        </w:tc>
        <w:tc>
          <w:tcPr>
            <w:tcW w:w="807" w:type="pct"/>
            <w:vAlign w:val="center"/>
          </w:tcPr>
          <w:p>
            <w:pPr>
              <w:jc w:val="center"/>
              <w:rPr>
                <w:rFonts w:ascii="宋体" w:hAnsi="宋体"/>
                <w:b/>
                <w:szCs w:val="21"/>
              </w:rPr>
            </w:pPr>
            <w:r>
              <w:rPr>
                <w:rFonts w:ascii="宋体" w:hAnsi="宋体" w:hint="eastAsia"/>
                <w:b/>
                <w:szCs w:val="21"/>
              </w:rPr>
              <w:t>年度利润分配合计</w:t>
            </w:r>
          </w:p>
        </w:tc>
        <w:tc>
          <w:tcPr>
            <w:tcW w:w="526" w:type="pct"/>
            <w:vAlign w:val="center"/>
          </w:tcPr>
          <w:p>
            <w:pPr>
              <w:jc w:val="center"/>
              <w:rPr>
                <w:rFonts w:ascii="宋体" w:hAnsi="宋体"/>
                <w:b/>
                <w:szCs w:val="21"/>
              </w:rPr>
            </w:pPr>
            <w:r>
              <w:rPr>
                <w:rFonts w:ascii="宋体" w:hAnsi="宋体" w:hint="eastAsia"/>
                <w:b/>
                <w:szCs w:val="21"/>
              </w:rPr>
              <w:t>备注</w:t>
            </w:r>
          </w:p>
        </w:tc>
      </w:tr>
      <w:tr w:rsidTr="009F4E66">
        <w:trPr>
          <w:jc w:val="center"/>
        </w:trPr>
        <w:tc>
          <w:tcPr>
            <w:tcW w:w="496" w:type="pct"/>
            <w:vAlign w:val="center"/>
          </w:tcPr>
          <w:p>
            <w:pPr>
              <w:jc w:val="left"/>
              <w:rPr>
                <w:rFonts w:ascii="宋体" w:hAnsi="宋体"/>
                <w:szCs w:val="21"/>
              </w:rPr>
            </w:pPr>
            <w:r>
              <w:rPr>
                <w:rFonts w:ascii="宋体" w:hAnsi="宋体"/>
                <w:szCs w:val="21"/>
              </w:rPr>
              <w:t xml:space="preserve">2019</w:t>
            </w:r>
          </w:p>
        </w:tc>
        <w:tc>
          <w:tcPr>
            <w:tcW w:w="1148" w:type="pct"/>
            <w:vAlign w:val="center"/>
          </w:tcPr>
          <w:p>
            <w:pPr>
              <w:jc w:val="right"/>
              <w:rPr>
                <w:rFonts w:ascii="宋体" w:hAnsi="宋体"/>
                <w:szCs w:val="21"/>
              </w:rPr>
            </w:pPr>
            <w:r>
              <w:rPr>
                <w:rFonts w:ascii="宋体" w:hAnsi="宋体"/>
                <w:szCs w:val="21"/>
              </w:rPr>
              <w:t xml:space="preserve">0</w:t>
            </w:r>
          </w:p>
        </w:tc>
        <w:tc>
          <w:tcPr>
            <w:tcW w:w="1008" w:type="pct"/>
            <w:vAlign w:val="center"/>
          </w:tcPr>
          <w:p>
            <w:pPr>
              <w:jc w:val="right"/>
              <w:rPr>
                <w:rFonts w:ascii="宋体" w:hAnsi="宋体"/>
                <w:szCs w:val="21"/>
              </w:rPr>
            </w:pPr>
            <w:r>
              <w:rPr>
                <w:rFonts w:ascii="宋体" w:hAnsi="宋体"/>
                <w:szCs w:val="21"/>
              </w:rPr>
              <w:t xml:space="preserve">0</w:t>
            </w:r>
          </w:p>
        </w:tc>
        <w:tc>
          <w:tcPr>
            <w:tcW w:w="1016" w:type="pct"/>
            <w:vAlign w:val="center"/>
          </w:tcPr>
          <w:p>
            <w:pPr>
              <w:jc w:val="right"/>
              <w:rPr>
                <w:rFonts w:ascii="宋体" w:hAnsi="宋体"/>
                <w:szCs w:val="21"/>
              </w:rPr>
            </w:pPr>
            <w:r>
              <w:rPr>
                <w:rFonts w:ascii="宋体" w:hAnsi="宋体"/>
                <w:szCs w:val="21"/>
              </w:rPr>
              <w:t xml:space="preserve">0</w:t>
            </w:r>
          </w:p>
        </w:tc>
        <w:tc>
          <w:tcPr>
            <w:tcW w:w="807" w:type="pct"/>
            <w:vAlign w:val="center"/>
          </w:tcPr>
          <w:p>
            <w:pPr>
              <w:jc w:val="right"/>
              <w:rPr>
                <w:rFonts w:ascii="宋体" w:hAnsi="宋体"/>
                <w:szCs w:val="21"/>
              </w:rPr>
            </w:pPr>
            <w:r>
              <w:rPr>
                <w:rFonts w:ascii="宋体" w:hAnsi="宋体"/>
                <w:szCs w:val="21"/>
              </w:rPr>
              <w:t xml:space="preserve">0</w:t>
            </w:r>
          </w:p>
        </w:tc>
        <w:tc>
          <w:tcPr>
            <w:tcW w:w="526" w:type="pct"/>
            <w:vAlign w:val="center"/>
          </w:tcPr>
          <w:p>
            <w:pPr>
              <w:jc w:val="left"/>
              <w:rPr>
                <w:rFonts w:ascii="宋体" w:hAnsi="宋体"/>
                <w:szCs w:val="21"/>
              </w:rPr>
            </w:pPr>
            <w:r>
              <w:rPr>
                <w:rFonts w:ascii="宋体" w:hAnsi="宋体"/>
                <w:szCs w:val="21"/>
              </w:rPr>
              <w:t xml:space="preserve">-</w:t>
            </w:r>
          </w:p>
        </w:tc>
      </w:tr>
      <w:tr w:rsidTr="009F4E66">
        <w:trPr>
          <w:jc w:val="center"/>
        </w:trPr>
        <w:tc>
          <w:tcPr>
            <w:tcW w:w="496" w:type="pct"/>
            <w:vAlign w:val="center"/>
          </w:tcPr>
          <w:p>
            <w:pPr>
              <w:jc w:val="left"/>
              <w:rPr>
                <w:rFonts w:ascii="宋体" w:hAnsi="宋体"/>
                <w:szCs w:val="21"/>
              </w:rPr>
            </w:pPr>
            <w:r>
              <w:rPr>
                <w:rFonts w:ascii="宋体" w:hAnsi="宋体"/>
                <w:szCs w:val="21"/>
              </w:rPr>
              <w:t xml:space="preserve">2018</w:t>
            </w:r>
          </w:p>
        </w:tc>
        <w:tc>
          <w:tcPr>
            <w:tcW w:w="1148" w:type="pct"/>
            <w:vAlign w:val="center"/>
          </w:tcPr>
          <w:p>
            <w:pPr>
              <w:jc w:val="right"/>
              <w:rPr>
                <w:rFonts w:ascii="宋体" w:hAnsi="宋体"/>
                <w:szCs w:val="21"/>
              </w:rPr>
            </w:pPr>
            <w:r>
              <w:rPr>
                <w:rFonts w:ascii="宋体" w:hAnsi="宋体"/>
                <w:szCs w:val="21"/>
              </w:rPr>
              <w:t xml:space="preserve">0</w:t>
            </w:r>
          </w:p>
        </w:tc>
        <w:tc>
          <w:tcPr>
            <w:tcW w:w="1008" w:type="pct"/>
            <w:vAlign w:val="center"/>
          </w:tcPr>
          <w:p>
            <w:pPr>
              <w:jc w:val="right"/>
              <w:rPr>
                <w:rFonts w:ascii="宋体" w:hAnsi="宋体"/>
                <w:szCs w:val="21"/>
              </w:rPr>
            </w:pPr>
            <w:r>
              <w:rPr>
                <w:rFonts w:ascii="宋体" w:hAnsi="宋体"/>
                <w:szCs w:val="21"/>
              </w:rPr>
              <w:t xml:space="preserve">0</w:t>
            </w:r>
          </w:p>
        </w:tc>
        <w:tc>
          <w:tcPr>
            <w:tcW w:w="1016" w:type="pct"/>
            <w:vAlign w:val="center"/>
          </w:tcPr>
          <w:p>
            <w:pPr>
              <w:jc w:val="right"/>
              <w:rPr>
                <w:rFonts w:ascii="宋体" w:hAnsi="宋体"/>
                <w:szCs w:val="21"/>
              </w:rPr>
            </w:pPr>
            <w:r>
              <w:rPr>
                <w:rFonts w:ascii="宋体" w:hAnsi="宋体"/>
                <w:szCs w:val="21"/>
              </w:rPr>
              <w:t xml:space="preserve">0</w:t>
            </w:r>
          </w:p>
        </w:tc>
        <w:tc>
          <w:tcPr>
            <w:tcW w:w="807" w:type="pct"/>
            <w:vAlign w:val="center"/>
          </w:tcPr>
          <w:p>
            <w:pPr>
              <w:jc w:val="right"/>
              <w:rPr>
                <w:rFonts w:ascii="宋体" w:hAnsi="宋体"/>
                <w:szCs w:val="21"/>
              </w:rPr>
            </w:pPr>
            <w:r>
              <w:rPr>
                <w:rFonts w:ascii="宋体" w:hAnsi="宋体"/>
                <w:szCs w:val="21"/>
              </w:rPr>
              <w:t xml:space="preserve">0</w:t>
            </w:r>
          </w:p>
        </w:tc>
        <w:tc>
          <w:tcPr>
            <w:tcW w:w="526" w:type="pct"/>
            <w:vAlign w:val="center"/>
          </w:tcPr>
          <w:p>
            <w:pPr>
              <w:jc w:val="left"/>
              <w:rPr>
                <w:rFonts w:ascii="宋体" w:hAnsi="宋体"/>
                <w:szCs w:val="21"/>
              </w:rPr>
            </w:pPr>
            <w:r>
              <w:rPr>
                <w:rFonts w:ascii="宋体" w:hAnsi="宋体"/>
                <w:szCs w:val="21"/>
              </w:rPr>
              <w:t xml:space="preserve">-</w:t>
            </w:r>
          </w:p>
        </w:tc>
      </w:tr>
      <w:tr w:rsidTr="009F4E66">
        <w:trPr>
          <w:jc w:val="center"/>
        </w:trPr>
        <w:tc>
          <w:tcPr>
            <w:tcW w:w="496" w:type="pct"/>
            <w:vAlign w:val="center"/>
          </w:tcPr>
          <w:p>
            <w:pPr>
              <w:jc w:val="left"/>
              <w:rPr>
                <w:rFonts w:ascii="宋体" w:hAnsi="宋体"/>
                <w:szCs w:val="21"/>
              </w:rPr>
            </w:pPr>
            <w:r>
              <w:rPr>
                <w:rFonts w:ascii="宋体" w:hAnsi="宋体"/>
                <w:szCs w:val="21"/>
              </w:rPr>
              <w:t xml:space="preserve">2017</w:t>
            </w:r>
          </w:p>
        </w:tc>
        <w:tc>
          <w:tcPr>
            <w:tcW w:w="1148" w:type="pct"/>
            <w:vAlign w:val="center"/>
          </w:tcPr>
          <w:p>
            <w:pPr>
              <w:jc w:val="right"/>
              <w:rPr>
                <w:rFonts w:ascii="宋体" w:hAnsi="宋体"/>
                <w:szCs w:val="21"/>
              </w:rPr>
            </w:pPr>
            <w:r>
              <w:rPr>
                <w:rFonts w:ascii="宋体" w:hAnsi="宋体"/>
                <w:szCs w:val="21"/>
              </w:rPr>
              <w:t xml:space="preserve">0</w:t>
            </w:r>
          </w:p>
        </w:tc>
        <w:tc>
          <w:tcPr>
            <w:tcW w:w="1008" w:type="pct"/>
            <w:vAlign w:val="center"/>
          </w:tcPr>
          <w:p>
            <w:pPr>
              <w:jc w:val="right"/>
              <w:rPr>
                <w:rFonts w:ascii="宋体" w:hAnsi="宋体"/>
                <w:szCs w:val="21"/>
              </w:rPr>
            </w:pPr>
            <w:r>
              <w:rPr>
                <w:rFonts w:ascii="宋体" w:hAnsi="宋体"/>
                <w:szCs w:val="21"/>
              </w:rPr>
              <w:t xml:space="preserve">0</w:t>
            </w:r>
          </w:p>
        </w:tc>
        <w:tc>
          <w:tcPr>
            <w:tcW w:w="1016" w:type="pct"/>
            <w:vAlign w:val="center"/>
          </w:tcPr>
          <w:p>
            <w:pPr>
              <w:jc w:val="right"/>
              <w:rPr>
                <w:rFonts w:ascii="宋体" w:hAnsi="宋体"/>
                <w:szCs w:val="21"/>
              </w:rPr>
            </w:pPr>
            <w:r>
              <w:rPr>
                <w:rFonts w:ascii="宋体" w:hAnsi="宋体"/>
                <w:szCs w:val="21"/>
              </w:rPr>
              <w:t xml:space="preserve">0</w:t>
            </w:r>
          </w:p>
        </w:tc>
        <w:tc>
          <w:tcPr>
            <w:tcW w:w="807" w:type="pct"/>
            <w:vAlign w:val="center"/>
          </w:tcPr>
          <w:p>
            <w:pPr>
              <w:jc w:val="right"/>
              <w:rPr>
                <w:rFonts w:ascii="宋体" w:hAnsi="宋体"/>
                <w:szCs w:val="21"/>
              </w:rPr>
            </w:pPr>
            <w:r>
              <w:rPr>
                <w:rFonts w:ascii="宋体" w:hAnsi="宋体"/>
                <w:szCs w:val="21"/>
              </w:rPr>
              <w:t xml:space="preserve">0</w:t>
            </w:r>
          </w:p>
        </w:tc>
        <w:tc>
          <w:tcPr>
            <w:tcW w:w="526" w:type="pct"/>
            <w:vAlign w:val="center"/>
          </w:tcPr>
          <w:p>
            <w:pPr>
              <w:jc w:val="left"/>
              <w:rPr>
                <w:rFonts w:ascii="宋体" w:hAnsi="宋体"/>
                <w:szCs w:val="21"/>
              </w:rPr>
            </w:pPr>
            <w:r>
              <w:rPr>
                <w:rFonts w:ascii="宋体" w:hAnsi="宋体"/>
                <w:szCs w:val="21"/>
              </w:rPr>
              <w:t xml:space="preserve">-</w:t>
            </w:r>
          </w:p>
        </w:tc>
      </w:tr>
    </w:tbl>
    <!--PH-->
    <w:p>
      <w:pPr>
        <w:jc w:val="left"/>
        <w:rPr>
          <w:rFonts w:ascii="宋体" w:hAnsi="宋体"/>
          <w:szCs w:val="21"/>
        </w:rPr>
      </w:pPr>
    </w:p>
    <!--_SEC_2fc327462e7f4931a8584dea2f2ec18d:END-->
    <!--_SEC_6c5cc876d8b24fb983c743ebf63cbed4:START-->
    <!--_SEC_6c5cc876d8b24fb983c743ebf63cbed4:END-->
    <!--_SEC_6f8dbb9dc0ac463284d4e389d3863b85:START-->
    <!--_SEC_6f8dbb9dc0ac463284d4e389d3863b85:END-->
    <w:bookmarkStart w:id="2" w:name="_Toc445130139" w:displacedByCustomXml="next"/>
    <!--_SEC_e2b654362d124e9dbd6340a0b1c31dd4:START-->
    <w:p emptyAbove="1">
      <w:pPr gbicc:listString="3、" gbicc:numText="%1、" gbicc:numFmt="D" gbicc:numVal="3" gbicc:numId="11">
        <w:pStyle w:val="1"/>
        <w:numPr>
          <w:ilvl w:val="0"/>
          <w:numId w:val="11"/>
        </w:numPr>
        <w:rPr>
          <w:rFonts w:ascii="宋体" w:hAnsi="宋体"/>
          <w:szCs w:val="21"/>
        </w:rPr>
      </w:pPr>
      <w:r>
        <w:rPr>
          <w:rFonts w:ascii="宋体" w:hAnsi="宋体" w:hint="eastAsia"/>
          <w:szCs w:val="21"/>
        </w:rPr>
        <w:t>基金份额变动情况</w:t>
      </w:r>
      <w:bookmarkEnd w:id="2"/>
    </w:p>
    <w:p>
      <w:pPr>
        <w:adjustRightInd w:val="0"/>
        <w:snapToGrid w:val="0"/>
        <w:jc w:val="right"/>
        <w:rPr>
          <w:rFonts w:ascii="宋体" w:hAnsi="宋体"/>
          <w:szCs w:val="21"/>
        </w:rPr>
      </w:pPr>
      <w:r>
        <w:rPr>
          <w:rFonts w:ascii="宋体" w:hAnsi="宋体" w:hint="eastAsia"/>
          <w:szCs w:val="21"/>
        </w:rPr>
        <w:t>单位：份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0"/>
        <w:gridCol w:w="2732"/>
      </w:tblGrid>
      <w:tr w:rsidTr="008536F0">
        <w:trPr>
          <w:trHeight w:val="281"/>
          <w:jc w:val="center"/>
        </w:trPr>
        <w:tc>
          <w:tcPr>
            <w:tcW w:w="3397" w:type="pct"/>
            <w:vAlign w:val="center"/>
          </w:tcPr>
          <w:p>
            <w:pPr>
              <w:adjustRightInd w:val="0"/>
              <w:snapToGrid w:val="0"/>
              <w:rPr>
                <w:rFonts w:ascii="宋体" w:hAnsi="宋体"/>
                <w:szCs w:val="21"/>
              </w:rPr>
            </w:pPr>
            <w:r>
              <w:rPr>
                <w:rFonts w:ascii="宋体" w:hAnsi="宋体" w:hint="eastAsia"/>
                <w:szCs w:val="21"/>
              </w:rPr>
              <w:t>报告期期</w:t>
            </w:r>
            <w:proofErr w:type="gramStart"/>
            <w:r>
              <w:rPr>
                <w:rFonts w:ascii="宋体" w:hAnsi="宋体" w:hint="eastAsia"/>
                <w:szCs w:val="21"/>
              </w:rPr>
              <w:t>初基金</w:t>
            </w:r>
            <w:proofErr w:type="gramEnd"/>
            <w:r>
              <w:rPr>
                <w:rFonts w:ascii="宋体" w:hAnsi="宋体" w:hint="eastAsia"/>
                <w:szCs w:val="21"/>
              </w:rPr>
              <w:t>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 xml:space="preserve">10,000,000</w:t>
            </w:r>
          </w:p>
        </w:tc>
      </w:tr>
      <w:tr w:rsidTr="008536F0">
        <w:trPr>
          <w:trHeight w:val="245"/>
          <w:jc w:val="center"/>
        </w:trPr>
        <w:tc>
          <w:tcPr>
            <w:tcW w:w="3397" w:type="pct"/>
            <w:vAlign w:val="center"/>
          </w:tcPr>
          <w:p>
            <w:pPr>
              <w:adjustRightInd w:val="0"/>
              <w:snapToGrid w:val="0"/>
              <w:rPr>
                <w:rFonts w:ascii="宋体" w:hAnsi="宋体"/>
                <w:szCs w:val="21"/>
              </w:rPr>
            </w:pPr>
            <w:r>
              <w:rPr>
                <w:rFonts w:ascii="宋体" w:hAnsi="宋体" w:hint="eastAsia"/>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 xml:space="preserve">0</w:t>
            </w:r>
          </w:p>
        </w:tc>
      </w:tr>
      <w:tr w:rsidTr="008536F0">
        <w:trPr>
          <w:trHeight w:val="275"/>
          <w:jc w:val="center"/>
        </w:trPr>
        <w:tc>
          <w:tcPr>
            <w:tcW w:w="3397" w:type="pct"/>
            <w:vAlign w:val="center"/>
          </w:tcPr>
          <w:p>
            <w:pPr>
              <w:adjustRightInd w:val="0"/>
              <w:snapToGrid w:val="0"/>
              <w:rPr>
                <w:rFonts w:ascii="宋体" w:hAnsi="宋体"/>
                <w:szCs w:val="21"/>
              </w:rPr>
            </w:pPr>
            <w:r>
              <w:rPr>
                <w:rFonts w:ascii="宋体" w:hAnsi="宋体" w:hint="eastAsia"/>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 xml:space="preserve">0</w:t>
            </w:r>
          </w:p>
        </w:tc>
      </w:tr>
      <w:tr w:rsidTr="008536F0">
        <w:trPr>
          <w:trHeight w:val="210"/>
          <w:jc w:val="center"/>
        </w:trPr>
        <w:tc>
          <w:tcPr>
            <w:tcW w:w="3397" w:type="pct"/>
            <w:vAlign w:val="center"/>
          </w:tcPr>
          <w:p>
            <w:pPr>
              <w:adjustRightInd w:val="0"/>
              <w:snapToGrid w:val="0"/>
              <w:rPr>
                <w:rFonts w:ascii="宋体" w:hAnsi="宋体"/>
                <w:szCs w:val="21"/>
              </w:rPr>
            </w:pPr>
            <w:r>
              <w:rPr>
                <w:rFonts w:ascii="宋体" w:hAnsi="宋体" w:hint="eastAsia"/>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 xml:space="preserve">0</w:t>
            </w:r>
          </w:p>
        </w:tc>
      </w:tr>
      <w:tr w:rsidTr="008536F0">
        <w:trPr>
          <w:trHeight w:val="211"/>
          <w:jc w:val="center"/>
        </w:trPr>
        <w:tc>
          <w:tcPr>
            <w:tcW w:w="3397" w:type="pct"/>
            <w:vAlign w:val="center"/>
          </w:tcPr>
          <w:p>
            <w:pPr>
              <w:adjustRightInd w:val="0"/>
              <w:snapToGrid w:val="0"/>
              <w:rPr>
                <w:rFonts w:ascii="宋体" w:hAnsi="宋体"/>
                <w:szCs w:val="21"/>
              </w:rPr>
            </w:pPr>
            <w:r>
              <w:rPr>
                <w:rFonts w:ascii="宋体" w:hAnsi="宋体" w:hint="eastAsia"/>
                <w:szCs w:val="21"/>
              </w:rPr>
              <w:t>报告期期末基金份额总额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 xml:space="preserve">10,000,000</w:t>
            </w:r>
          </w:p>
        </w:tc>
      </w:tr>
    </w:tbl>
    <!--PH-->
    <!--_SEC_e2b654362d124e9dbd6340a0b1c31dd4:END-->
    <w:p>
      <w:pPr>
        <w:rPr>
          <w:rFonts w:ascii="宋体" w:hAnsi="宋体"/>
        </w:rPr>
      </w:pPr>
    </w:p>
    <!--_SEC_304b9eccaed74c49837720673678b16e:START-->
    <!--_SEC_304b9eccaed74c49837720673678b16e:END-->
    <!--_SEC_1697f2a2ebdd4164979acc5c76b77dc5:START-->
    <!--_SEC_1697f2a2ebdd4164979acc5c76b77dc5:END-->
    <w:bookmarkStart w:id="3" w:name="_Toc445130140" w:displacedByCustomXml="next"/>
    <!--_SEC_1612ad6a7c3941f3a420d0495da9ff0c:START-->
    <w:p emptyAbove="1">
      <w:pPr gbicc:listString="4、" gbicc:numText="%1、" gbicc:numFmt="D" gbicc:numVal="4" gbicc:numId="11">
        <w:pStyle w:val="1"/>
        <w:numPr>
          <w:ilvl w:val="0"/>
          <w:numId w:val="11"/>
        </w:numPr>
        <w:rPr>
          <w:rFonts w:ascii="宋体" w:hAnsi="宋体"/>
          <w:b w:val="0"/>
          <w:szCs w:val="21"/>
        </w:rPr>
      </w:pPr>
      <w:r>
        <w:rPr>
          <w:rFonts w:ascii="宋体" w:hAnsi="宋体" w:hint="eastAsia"/>
          <w:szCs w:val="21"/>
        </w:rPr>
        <w:t>管理人说明的其他情况</w:t>
      </w:r>
    </w:p>
    <!--PH-->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Tr="00470374">
        <w:tc>
          <w:tcPr>
            <w:tcW w:w="5000" w:type="pct"/>
          </w:tcPr>
          <w:p>
            <w:pPr>
              <w:rPr>
                <w:rFonts w:ascii="宋体" w:hAnsi="宋体"/>
              </w:rPr>
            </w:pPr>
            <w:r>
              <w:rPr>
                <w:rFonts w:ascii="宋体" w:hAnsi="宋体"/>
              </w:rPr>
              <w:t xml:space="preserve"/>
            </w:r>
          </w:p>
        </w:tc>
      </w:tr>
    </w:tbl>
    <w:p>
      <w:pPr>
        <w:rPr>
          <w:rFonts w:ascii="宋体" w:hAnsi="宋体"/>
          <w:b/>
          <w:szCs w:val="21"/>
        </w:rPr>
      </w:pPr>
    </w:p>
    <!--_SEC_1612ad6a7c3941f3a420d0495da9ff0c:END-->
    <w:p emptyAbove="1">
      <w:pPr gbicc:listString="5、" gbicc:numText="%1、" gbicc:numFmt="D" gbicc:numVal="5" gbicc:numId="11">
        <w:pStyle w:val="1"/>
        <w:numPr>
          <w:ilvl w:val="0"/>
          <w:numId w:val="11"/>
        </w:numPr>
        <w:rPr>
          <w:rFonts w:ascii="宋体" w:hAnsi="宋体"/>
          <w:szCs w:val="21"/>
        </w:rPr>
      </w:pPr>
      <w:bookmarkStart w:id="4" w:name="_Toc445130141"/>
      <w:r>
        <w:rPr>
          <w:rFonts w:ascii="宋体" w:hAnsi="宋体" w:hint="eastAsia"/>
          <w:szCs w:val="21"/>
        </w:rPr>
        <w:t>托管人报告</w:t>
      </w:r>
      <w:bookmarkEnd w:id="4"/>
      <w:r>
        <w:rPr>
          <w:rFonts w:ascii="宋体" w:hAnsi="宋体" w:hint="eastAsia"/>
          <w:szCs w:val="21"/>
        </w:rPr>
        <w:t>（如有）</w:t>
      </w:r>
    </w:p>
    <!--_SEC_ca4be2d8a977434eb700326e7fe58399:START-->
    <w:p>
      <w:pPr gbicc:listString="5.1" gbicc:numText="5.%1" gbicc:numFmt="D" gbicc:numVal="1" gbicc:numId="13">
        <w:pStyle w:val="a7"/>
        <w:numPr>
          <w:ilvl w:val="0"/>
          <w:numId w:val="13"/>
        </w:numPr>
        <w:ind w:firstLineChars="0"/>
        <w:outlineLvl w:val="1"/>
        <w:rPr>
          <w:rFonts w:ascii="宋体" w:hAnsi="宋体"/>
          <w:szCs w:val="21"/>
        </w:rPr>
      </w:pPr>
      <w:r>
        <w:rPr>
          <w:rFonts w:ascii="宋体" w:hAnsi="宋体" w:hint="eastAsia"/>
          <w:szCs w:val="21"/>
        </w:rPr>
        <w:t>报告期内本基金托管人遵规守信情况声明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Tr="008536F0">
        <w:tc>
          <w:tcPr>
            <w:tcW w:w="5000" w:type="pct"/>
          </w:tcPr>
          <w:p>
            <w:pPr>
              <w:rPr>
                <w:rFonts w:ascii="宋体" w:hAnsi="宋体"/>
                <w:szCs w:val="21"/>
              </w:rPr>
            </w:pPr>
            <w:r>
              <w:rPr>
                <w:rFonts w:ascii="宋体" w:hAnsi="宋体"/>
                <w:szCs w:val="21"/>
              </w:rPr>
              <w:t xml:space="preserve">在本报告期内，本基金托管人在托管基金过程中，严格遵守了基金合同、托管协议（如有）的有关规定，不存在损害基金份额持有人利益的行为，尽职尽责地履行了托管人应尽的义务。</w:t>
            </w:r>
          </w:p>
        </w:tc>
      </w:tr>
    </w:tbl>
    <w:p>
      <w:pPr>
        <w:rPr>
          <w:rFonts w:ascii="宋体" w:hAnsi="宋体"/>
          <w:szCs w:val="21"/>
        </w:rPr>
      </w:pPr>
    </w:p>
    <!--_SEC_ca4be2d8a977434eb700326e7fe58399:END-->
    <!--_SEC_0d6d64228afa4c5a9941cb5785bd70b8:START-->
    <w:p emptyAbove="1">
      <w:pPr gbicc:listString="5.2" gbicc:numText="5.%1" gbicc:numFmt="D" gbicc:numVal="2" gbicc:numId="13">
        <w:pStyle w:val="a7"/>
        <w:numPr>
          <w:ilvl w:val="0"/>
          <w:numId w:val="13"/>
        </w:numPr>
        <w:ind w:firstLineChars="0"/>
        <w:outlineLvl w:val="1"/>
        <w:rPr>
          <w:rFonts w:ascii="宋体" w:hAnsi="宋体"/>
          <w:szCs w:val="21"/>
        </w:rPr>
      </w:pPr>
      <w:r>
        <w:rPr>
          <w:rFonts w:ascii="宋体" w:hAnsi="宋体" w:hint="eastAsia"/>
          <w:szCs w:val="21"/>
        </w:rPr>
        <w:t>托管人对报告期内本基金投资运作遵规守信、净值计算、利润分配等情况的说明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Tr="008536F0">
        <w:tc>
          <w:tcPr>
            <w:tcW w:w="5000" w:type="pct"/>
          </w:tcPr>
          <w:p>
            <w:pPr>
              <w:rPr>
                <w:rFonts w:ascii="宋体" w:hAnsi="宋体"/>
                <w:szCs w:val="21"/>
              </w:rPr>
            </w:pPr>
            <w:r>
              <w:rPr>
                <w:rFonts w:ascii="宋体" w:hAnsi="宋体"/>
                <w:szCs w:val="21"/>
              </w:rPr>
              <w:t xml:space="preserve">在本报告期内，托管人按照基金合同，托管协议（如有）的有关规定，对本基金的资产净值计算、基金费用进行了认真的复核；托管人按照基金合同或托管协议（如有）中约定的托管人应承担的投资监督职责，根据基金管理人向托管人提供的基金投资相关文件及基金托管账户显示的基金投资信息，对本基金的投资运作进行了监督，未发现基金管理人有明显损害基金份额持有人利益的行为。</w:t>
            </w:r>
          </w:p>
        </w:tc>
      </w:tr>
    </w:tbl>
    <w:p>
      <w:pPr>
        <w:rPr>
          <w:rFonts w:ascii="宋体" w:hAnsi="宋体"/>
          <w:szCs w:val="21"/>
        </w:rPr>
      </w:pPr>
    </w:p>
    <!--_SEC_0d6d64228afa4c5a9941cb5785bd70b8:END-->
    <!--_SEC_a7383f03019243fc9555390eaf79c1af:START-->
    <w:p emptyAbove="1">
      <w:pPr gbicc:listString="5.3" gbicc:numText="5.%1" gbicc:numFmt="D" gbicc:numVal="3" gbicc:numId="13">
        <w:pStyle w:val="a7"/>
        <w:numPr>
          <w:ilvl w:val="0"/>
          <w:numId w:val="13"/>
        </w:numPr>
        <w:ind w:firstLineChars="0"/>
        <w:outlineLvl w:val="1"/>
        <w:rPr>
          <w:rFonts w:ascii="宋体" w:hAnsi="宋体"/>
          <w:szCs w:val="21"/>
        </w:rPr>
      </w:pPr>
      <w:r>
        <w:rPr>
          <w:rFonts w:ascii="宋体" w:hAnsi="宋体" w:hint="eastAsia"/>
          <w:szCs w:val="21"/>
        </w:rPr>
        <w:t>托管人对本年度报告中财务信息等内容的真实、准确和完整发表意见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Tr="008536F0">
        <w:tc>
          <w:tcPr>
            <w:tcW w:w="5000" w:type="pct"/>
          </w:tcPr>
          <w:p>
            <w:pPr>
              <w:rPr>
                <w:rFonts w:ascii="宋体" w:hAnsi="宋体"/>
                <w:szCs w:val="21"/>
              </w:rPr>
            </w:pPr>
            <w:r>
              <w:rPr>
                <w:rFonts w:ascii="宋体" w:hAnsi="宋体"/>
                <w:szCs w:val="21"/>
              </w:rPr>
              <w:t xml:space="preserve">本托管人复核了本年度报告中的财务指标、净值表现的相关内容，所复核内容真实、准确和完整。</w:t>
            </w:r>
          </w:p>
          <w:p>
            <w:pPr>
              <w:rPr>
                <w:rFonts w:ascii="宋体" w:hAnsi="宋体"/>
                <w:szCs w:val="21"/>
              </w:rPr>
            </w:pPr>
            <w:r>
              <w:rPr>
                <w:rFonts w:ascii="宋体" w:hAnsi="宋体"/>
                <w:szCs w:val="21"/>
              </w:rPr>
              <w:t xml:space="preserve">免责声明：</w:t>
            </w:r>
          </w:p>
          <w:p>
            <w:pPr>
              <w:rPr>
                <w:rFonts w:ascii="宋体" w:hAnsi="宋体"/>
                <w:szCs w:val="21"/>
              </w:rPr>
            </w:pPr>
            <w:r>
              <w:rPr>
                <w:rFonts w:ascii="宋体" w:hAnsi="宋体"/>
                <w:szCs w:val="21"/>
              </w:rPr>
              <w:t xml:space="preserve">1、基金托管人仅复核本报告中的基金财务数据，对于本报告中基金财务数据以外的其他数据和信息，基金托管人不承担复核职责。</w:t>
            </w:r>
          </w:p>
          <w:p>
            <w:pPr>
              <w:rPr>
                <w:rFonts w:ascii="宋体" w:hAnsi="宋体"/>
                <w:szCs w:val="21"/>
              </w:rPr>
            </w:pPr>
            <w:r>
              <w:rPr>
                <w:rFonts w:ascii="宋体" w:hAnsi="宋体"/>
                <w:szCs w:val="21"/>
              </w:rPr>
              <w:t xml:space="preserve">2、基金管理人，基金管理人委托的证券期货经纪商等服务机构应当确保向基金托管人提供的基金财务数据和信息的及时性、真实性、准确性和完整性，对因基金管理人或者服务机构原因导致基金托管人复核后的基金财务数据不准确及基金财产损失，基金托管人不承担任何责任。</w:t>
            </w:r>
          </w:p>
          <w:p>
            <w:pPr>
              <w:rPr>
                <w:rFonts w:ascii="宋体" w:hAnsi="宋体"/>
                <w:szCs w:val="21"/>
              </w:rPr>
            </w:pPr>
            <w:r>
              <w:rPr>
                <w:rFonts w:ascii="宋体" w:hAnsi="宋体"/>
                <w:szCs w:val="21"/>
              </w:rPr>
              <w:t xml:space="preserve">3、基金托管人不复核本基金财产分配（包括利润分配、收益分配及资产分配等）情况，除非基金合同或托管协议（如有）明确约定由基金托管人对财产分配（包括利润分配、收益分配及资产分配等）情况进行复核。</w:t>
            </w:r>
          </w:p>
        </w:tc>
      </w:tr>
    </w:tbl>
    <w:p>
      <w:pPr>
        <w:rPr>
          <w:rFonts w:ascii="宋体" w:hAnsi="宋体"/>
          <w:b/>
          <w:szCs w:val="21"/>
        </w:rPr>
      </w:pPr>
    </w:p>
    <!--_SEC_a7383f03019243fc9555390eaf79c1af:END-->
    <w:p emptyAbove="1">
      <w:pPr gbicc:listString="6、" gbicc:numText="%1、" gbicc:numFmt="D" gbicc:numVal="6" gbicc:numId="11">
        <w:pStyle w:val="1"/>
        <w:numPr>
          <w:ilvl w:val="0"/>
          <w:numId w:val="11"/>
        </w:numPr>
        <w:rPr>
          <w:rFonts w:ascii="宋体" w:hAnsi="宋体"/>
          <w:szCs w:val="21"/>
        </w:rPr>
      </w:pPr>
      <w:bookmarkStart w:id="5" w:name="_Toc445130142"/>
      <w:r>
        <w:rPr>
          <w:rFonts w:ascii="宋体" w:hAnsi="宋体" w:hint="eastAsia"/>
          <w:szCs w:val="21"/>
        </w:rPr>
        <w:t>年度财务报表</w:t>
      </w:r>
      <w:bookmarkEnd w:id="5"/>
    </w:p>
    <w:p>
      <w:pPr>
        <w:pStyle w:val="a7"/>
        <w:ind w:left="425" w:right="210" w:firstLineChars="0" w:firstLine="0"/>
        <w:jc w:val="right"/>
      </w:pPr>
      <w:r>
        <w:rPr>
          <w:rFonts w:hint="eastAsia"/>
        </w:rPr>
        <w:t>金额</w:t>
      </w:r>
      <w:r>
        <w:t>单位：元</w:t>
      </w:r>
    </w:p>
    <!--_SEC_4d803ddd2063487c8bee8f10fb02ba3e:START-->
    <w:p>
      <w:pPr gbicc:listString="6.1" gbicc:numText="6.%1" gbicc:numFmt="D" gbicc:numVal="1" gbicc:numId="14">
        <w:pStyle w:val="a7"/>
        <w:numPr>
          <w:ilvl w:val="0"/>
          <w:numId w:val="14"/>
        </w:numPr>
        <w:ind w:firstLineChars="0"/>
        <w:outlineLvl w:val="1"/>
        <w:rPr>
          <w:rFonts w:ascii="宋体" w:hAnsi="宋体"/>
          <w:szCs w:val="21"/>
        </w:rPr>
      </w:pPr>
      <w:r>
        <w:rPr>
          <w:rFonts w:ascii="宋体" w:hAnsi="宋体" w:hint="eastAsia"/>
          <w:szCs w:val="21"/>
        </w:rPr>
        <w:t>资产负债表</w:t>
      </w:r>
    </w:p>
    <w:tbl>
      <w:tblPr>
        <w:tblW w:w="5000" w:type="pct"/>
        <w:tblLook w:val="0000" w:firstRow="0" w:lastRow="0" w:firstColumn="0" w:lastColumn="0" w:noHBand="0" w:noVBand="0"/>
      </w:tblPr>
      <w:tblGrid>
        <w:gridCol w:w="3061"/>
        <w:gridCol w:w="2591"/>
        <w:gridCol w:w="2870"/>
      </w:tblGrid>
      <w:tr w:rsidTr="00B83FA0">
        <w:trPr>
          <w:trHeight w:val="270"/>
        </w:trPr>
        <w:tc>
          <w:tcPr>
            <w:tcW w:w="1796" w:type="pct"/>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kern w:val="0"/>
                <w:szCs w:val="21"/>
              </w:rPr>
            </w:pPr>
            <w:r>
              <w:rPr>
                <w:rFonts w:ascii="宋体" w:hAnsi="宋体" w:cs="宋体" w:hint="eastAsia"/>
                <w:b/>
                <w:bCs/>
                <w:kern w:val="0"/>
                <w:szCs w:val="21"/>
              </w:rPr>
              <w:t>资产</w:t>
            </w:r>
          </w:p>
        </w:tc>
        <w:tc>
          <w:tcPr>
            <w:tcW w:w="1520" w:type="pct"/>
            <w:tcBorders>
              <w:top w:val="single" w:sz="4" w:space="0" w:color="auto"/>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本期末</w:t>
            </w:r>
            <w:r>
              <w:rPr>
                <w:rFonts w:ascii="宋体" w:hAnsi="宋体" w:cs="宋体" w:hint="eastAsia"/>
                <w:b/>
                <w:bCs/>
                <w:kern w:val="0"/>
                <w:szCs w:val="21"/>
              </w:rPr>
              <w:t xml:space="preserve">2019年12月31日</w:t>
            </w:r>
          </w:p>
        </w:tc>
        <w:tc>
          <w:tcPr>
            <w:tcW w:w="1684" w:type="pct"/>
            <w:tcBorders>
              <w:top w:val="single" w:sz="4" w:space="0" w:color="auto"/>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上年度末</w:t>
            </w:r>
            <w:r>
              <w:rPr>
                <w:rFonts w:ascii="宋体" w:hAnsi="宋体" w:cs="宋体" w:hint="eastAsia"/>
                <w:b/>
                <w:bCs/>
                <w:kern w:val="0"/>
                <w:szCs w:val="21"/>
              </w:rPr>
              <w:t xml:space="preserve">2018年12月31日</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资产：</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银行存款</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392,926.74</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908,634.04</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结算备付金</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存出保证金</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107.05</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735.46</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交易性金融资产</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3,311,670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5,760,097.5</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其中：股票投资</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基金投资</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债券投资</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3,311,670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5,760,097.5</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资产支持证券投资</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贵金属投资</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衍生金融资产</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买入返售金融资产</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4,778,023.89</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1,263,006.32</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应收证券清算款</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应收利息</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31,295.87</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153,500.43</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应收股利</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应收申购款</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递延所得税资产</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其他资产</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3,060,898.06</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3,138,365.59</w:t>
            </w:r>
          </w:p>
        </w:tc>
      </w:tr>
      <w:tr w:rsidTr="0016423D">
        <w:trPr>
          <w:trHeight w:val="238"/>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资产总计</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11,574,921.61</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11,224,339.34</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b/>
                <w:bCs/>
                <w:kern w:val="0"/>
                <w:szCs w:val="21"/>
              </w:rPr>
            </w:pPr>
            <w:r>
              <w:rPr>
                <w:rFonts w:ascii="宋体" w:hAnsi="宋体" w:cs="宋体" w:hint="eastAsia"/>
                <w:b/>
                <w:bCs/>
                <w:kern w:val="0"/>
                <w:szCs w:val="21"/>
              </w:rPr>
              <w:t>负债和所有者权益</w:t>
            </w:r>
          </w:p>
        </w:tc>
        <w:tc>
          <w:tcPr>
            <w:tcW w:w="1520" w:type="pct"/>
            <w:tcBorders>
              <w:top w:val="nil"/>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本期末</w:t>
            </w:r>
            <w:r>
              <w:rPr>
                <w:rFonts w:ascii="宋体" w:hAnsi="宋体" w:cs="宋体" w:hint="eastAsia"/>
                <w:b/>
                <w:bCs/>
                <w:kern w:val="0"/>
                <w:szCs w:val="21"/>
              </w:rPr>
              <w:t xml:space="preserve">2019年12月31日</w:t>
            </w:r>
          </w:p>
        </w:tc>
        <w:tc>
          <w:tcPr>
            <w:tcW w:w="1684" w:type="pct"/>
            <w:tcBorders>
              <w:top w:val="nil"/>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上年度末</w:t>
            </w:r>
            <w:r>
              <w:rPr>
                <w:rFonts w:ascii="宋体" w:hAnsi="宋体" w:cs="宋体" w:hint="eastAsia"/>
                <w:b/>
                <w:bCs/>
                <w:kern w:val="0"/>
                <w:szCs w:val="21"/>
              </w:rPr>
              <w:t xml:space="preserve">2018年12月31日</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负债：</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短期借款</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交易性金融负债</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衍生金融负债</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卖出回购金融资产款</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应付证券清算款</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w:t>
            </w:r>
            <w:proofErr w:type="gramStart"/>
            <w:r>
              <w:rPr>
                <w:rFonts w:ascii="宋体" w:hAnsi="宋体" w:cs="宋体" w:hint="eastAsia"/>
                <w:kern w:val="0"/>
                <w:szCs w:val="21"/>
              </w:rPr>
              <w:t>赎回款</w:t>
            </w:r>
            <w:proofErr w:type="gramEnd"/>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应付管理人报酬</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396,043.62</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212,215.35</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应付托管费</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30,184.42</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27,140.62</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应付销售服务费</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应付交易费用</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应交税费</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896.6</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1,114.5</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应付利息</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应付利润</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递延所得税负债</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其他负债</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30,184.42</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27,140.62</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lastRenderedPageBreak/>
              <w:t>负债合计</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457,309.06</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267,611.09</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b/>
                <w:bCs/>
                <w:kern w:val="0"/>
                <w:szCs w:val="21"/>
              </w:rPr>
            </w:pPr>
            <w:r>
              <w:rPr>
                <w:rFonts w:ascii="宋体" w:hAnsi="宋体" w:cs="宋体" w:hint="eastAsia"/>
                <w:b/>
                <w:bCs/>
                <w:kern w:val="0"/>
                <w:szCs w:val="21"/>
              </w:rPr>
              <w:t>所有者权益：</w:t>
            </w:r>
          </w:p>
        </w:tc>
        <w:tc>
          <w:tcPr>
            <w:tcW w:w="1520" w:type="pct"/>
            <w:tcBorders>
              <w:top w:val="nil"/>
              <w:left w:val="nil"/>
              <w:bottom w:val="single" w:sz="4" w:space="0" w:color="auto"/>
              <w:right w:val="single" w:sz="4" w:space="0" w:color="auto"/>
            </w:tcBorders>
          </w:tcPr>
          <w:p>
            <w:pPr>
              <w:widowControl/>
              <w:jc w:val="right"/>
              <w:rPr>
                <w:rFonts w:ascii="宋体" w:hAnsi="宋体" w:cs="宋体"/>
                <w:b/>
                <w:bCs/>
                <w:kern w:val="0"/>
                <w:szCs w:val="21"/>
              </w:rPr>
            </w:pPr>
          </w:p>
        </w:tc>
        <w:tc>
          <w:tcPr>
            <w:tcW w:w="1684" w:type="pct"/>
            <w:tcBorders>
              <w:top w:val="nil"/>
              <w:left w:val="nil"/>
              <w:bottom w:val="single" w:sz="4" w:space="0" w:color="auto"/>
              <w:right w:val="single" w:sz="4" w:space="0" w:color="auto"/>
            </w:tcBorders>
          </w:tcPr>
          <w:p>
            <w:pPr>
              <w:widowControl/>
              <w:jc w:val="right"/>
              <w:rPr>
                <w:rFonts w:ascii="宋体" w:hAnsi="宋体" w:cs="宋体"/>
                <w:b/>
                <w:bCs/>
                <w:kern w:val="0"/>
                <w:szCs w:val="21"/>
              </w:rPr>
            </w:pP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实收基金</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10,000,000</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10,000,000</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未分配利润</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1,117,612.55</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956,728.25</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所有者权益合计</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11,117,612.55</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10,956,728.25</w:t>
            </w:r>
          </w:p>
        </w:tc>
      </w:tr>
      <w:tr w:rsidTr="00B83FA0">
        <w:trPr>
          <w:trHeight w:val="270"/>
        </w:trPr>
        <w:tc>
          <w:tcPr>
            <w:tcW w:w="1796"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负债和所有者权益总计</w:t>
            </w:r>
          </w:p>
        </w:tc>
        <w:tc>
          <w:tcPr>
            <w:tcW w:w="152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11,574,921.61</w:t>
            </w:r>
          </w:p>
        </w:tc>
        <w:tc>
          <w:tcPr>
            <w:tcW w:w="1684"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11,224,339.34</w:t>
            </w:r>
          </w:p>
        </w:tc>
      </w:tr>
    </w:tbl>
    <!--PH-->
    <!--_SEC_4d803ddd2063487c8bee8f10fb02ba3e:END-->
    <!--_SEC_701f71b3a18b4db18d66a4eeb8e81848:START-->
    <w:p>
      <w:pPr gbicc:listString="6.2" gbicc:numText="6.%1" gbicc:numFmt="D" gbicc:numVal="2" gbicc:numId="14">
        <w:pStyle w:val="a7"/>
        <w:numPr>
          <w:ilvl w:val="0"/>
          <w:numId w:val="14"/>
        </w:numPr>
        <w:ind w:firstLineChars="0"/>
        <w:outlineLvl w:val="1"/>
        <w:rPr>
          <w:rFonts w:ascii="宋体" w:hAnsi="宋体"/>
          <w:szCs w:val="21"/>
        </w:rPr>
      </w:pPr>
      <w:r>
        <w:rPr>
          <w:rFonts w:ascii="宋体" w:hAnsi="宋体" w:hint="eastAsia"/>
          <w:szCs w:val="21"/>
        </w:rPr>
        <w:t>利润表</w:t>
      </w:r>
    </w:p>
    <w:tbl>
      <w:tblPr>
        <w:tblW w:w="5000" w:type="pct"/>
        <w:tblLook w:val="0000" w:firstRow="0" w:lastRow="0" w:firstColumn="0" w:lastColumn="0" w:noHBand="0" w:noVBand="0"/>
      </w:tblPr>
      <w:tblGrid>
        <w:gridCol w:w="3085"/>
        <w:gridCol w:w="2553"/>
        <w:gridCol w:w="2884"/>
      </w:tblGrid>
      <w:tr w:rsidTr="0016423D">
        <w:trPr>
          <w:trHeight w:val="270"/>
        </w:trPr>
        <w:tc>
          <w:tcPr>
            <w:tcW w:w="181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项目</w:t>
            </w:r>
          </w:p>
        </w:tc>
        <w:tc>
          <w:tcPr>
            <w:tcW w:w="1498" w:type="pct"/>
            <w:tcBorders>
              <w:top w:val="single" w:sz="4" w:space="0" w:color="auto"/>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本期</w:t>
            </w:r>
          </w:p>
        </w:tc>
        <w:tc>
          <w:tcPr>
            <w:tcW w:w="1692" w:type="pct"/>
            <w:tcBorders>
              <w:top w:val="single" w:sz="4" w:space="0" w:color="auto"/>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上年度可比期间</w:t>
            </w:r>
          </w:p>
        </w:tc>
      </w:tr>
      <w:tr w:rsidTr="0016423D">
        <w:trPr>
          <w:trHeight w:val="270"/>
        </w:trPr>
        <w:tc>
          <w:tcPr>
            <w:tcW w:w="1810" w:type="pct"/>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kern w:val="0"/>
                <w:szCs w:val="21"/>
              </w:rPr>
            </w:pPr>
          </w:p>
        </w:tc>
        <w:tc>
          <w:tcPr>
            <w:tcW w:w="1498" w:type="pct"/>
            <w:tcBorders>
              <w:top w:val="nil"/>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 xml:space="preserve">2019年1月1日</w:t>
            </w:r>
            <w:r>
              <w:rPr>
                <w:rFonts w:ascii="宋体" w:hAnsi="宋体" w:cs="宋体" w:hint="eastAsia"/>
                <w:b/>
                <w:bCs/>
                <w:kern w:val="0"/>
                <w:szCs w:val="21"/>
              </w:rPr>
              <w:t xml:space="preserve"> 至 </w:t>
            </w:r>
            <w:r>
              <w:rPr>
                <w:rFonts w:ascii="宋体" w:hAnsi="宋体" w:cs="宋体" w:hint="eastAsia"/>
                <w:b/>
                <w:bCs/>
                <w:kern w:val="0"/>
                <w:szCs w:val="21"/>
              </w:rPr>
              <w:t xml:space="preserve">2019年12月31日</w:t>
            </w:r>
          </w:p>
        </w:tc>
        <w:tc>
          <w:tcPr>
            <w:tcW w:w="1692" w:type="pct"/>
            <w:tcBorders>
              <w:top w:val="nil"/>
              <w:left w:val="nil"/>
              <w:bottom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 xml:space="preserve">2018年1月1日</w:t>
            </w:r>
            <w:r>
              <w:rPr>
                <w:rFonts w:ascii="宋体" w:hAnsi="宋体" w:cs="宋体" w:hint="eastAsia"/>
                <w:b/>
                <w:bCs/>
                <w:kern w:val="0"/>
                <w:szCs w:val="21"/>
              </w:rPr>
              <w:t xml:space="preserve"> 至 </w:t>
            </w:r>
            <w:r>
              <w:rPr>
                <w:rFonts w:ascii="宋体" w:hAnsi="宋体" w:cs="宋体" w:hint="eastAsia"/>
                <w:b/>
                <w:bCs/>
                <w:kern w:val="0"/>
                <w:szCs w:val="21"/>
              </w:rPr>
              <w:t xml:space="preserve">2018年12月31日</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b/>
                <w:bCs/>
                <w:kern w:val="0"/>
                <w:szCs w:val="21"/>
              </w:rPr>
            </w:pPr>
            <w:r>
              <w:rPr>
                <w:rFonts w:ascii="宋体" w:hAnsi="宋体" w:cs="宋体" w:hint="eastAsia"/>
                <w:b/>
                <w:bCs/>
                <w:kern w:val="0"/>
                <w:szCs w:val="21"/>
              </w:rPr>
              <w:t>一、收入</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406,311.5</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874,295.41</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1.利息收入</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346,239</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902,712.85</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其中：存款利息收入</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4,568</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1,280.27</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债券利息收入</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276,276.85</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922,168.46</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资产支持证券利息收入</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买入返售金融资产收入</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75,644.6</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6,307.56</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其他利息收入</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-10,250.45</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-27,043.44</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2.投资收益（损失以“-”填列）</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-28,117.87</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-311,427.21</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其中：股票投资收益</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基金投资收益</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债券投资收益</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-28,117.87</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-311,427.21</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资产支持证券投资收益</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贵金属投资收益</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衍生工具收益</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bookmarkStart w:id="6" w:name="_GoBack"/>
            <w:r>
              <w:rPr>
                <w:rFonts w:ascii="宋体" w:hAnsi="宋体" w:hint="eastAsia"/>
              </w:rPr>
              <w:t>股利收益</w:t>
            </w:r>
            <w:bookmarkEnd w:id="6"/>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3.公允价值变动收益</w:t>
            </w:r>
          </w:p>
          <w:p>
            <w:pPr>
              <w:widowControl/>
              <w:jc w:val="left"/>
              <w:rPr>
                <w:rFonts w:ascii="宋体" w:hAnsi="宋体" w:cs="宋体"/>
                <w:kern w:val="0"/>
                <w:szCs w:val="21"/>
              </w:rPr>
            </w:pPr>
            <w:r>
              <w:rPr>
                <w:rFonts w:ascii="宋体" w:hAnsi="宋体" w:cs="宋体" w:hint="eastAsia"/>
                <w:kern w:val="0"/>
                <w:szCs w:val="21"/>
              </w:rPr>
              <w:t>（损失以“-”填列）</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88,190.37</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283,009.77</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4.汇兑收益（损失以“-”填列）</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5.其他收入（损失以“-”填列）</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b/>
                <w:bCs/>
                <w:kern w:val="0"/>
                <w:szCs w:val="21"/>
              </w:rPr>
            </w:pPr>
            <w:r>
              <w:rPr>
                <w:rFonts w:ascii="宋体" w:hAnsi="宋体" w:cs="宋体" w:hint="eastAsia"/>
                <w:b/>
                <w:bCs/>
                <w:kern w:val="0"/>
                <w:szCs w:val="21"/>
              </w:rPr>
              <w:t>减：二、费用</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245,427.2</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469,174.78</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1．管理人报酬</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183,828.27</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212,215.35</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其中：固定管理费</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165,828.27</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170,543.64</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业绩报酬</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18,000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41,671.71</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2．托管费</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30,184.42</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27,140.62</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3．销售服务费</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4. 外包服务费</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30,184.42</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27,140.62</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5．交易费用</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153.46</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6．利息支出</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198,943.5</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其中：卖出回购金融资产支出</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198,943.5</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7．其他费用</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1,230.09</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3,581.23</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b/>
                <w:bCs/>
                <w:kern w:val="0"/>
                <w:szCs w:val="21"/>
              </w:rPr>
            </w:pPr>
            <w:r>
              <w:rPr>
                <w:rFonts w:ascii="宋体" w:hAnsi="宋体" w:cs="宋体" w:hint="eastAsia"/>
                <w:b/>
                <w:bCs/>
                <w:kern w:val="0"/>
                <w:szCs w:val="21"/>
              </w:rPr>
              <w:t>三、利润总额</w:t>
            </w:r>
          </w:p>
          <w:p>
            <w:pPr>
              <w:widowControl/>
              <w:jc w:val="left"/>
              <w:rPr>
                <w:rFonts w:ascii="宋体" w:hAnsi="宋体" w:cs="宋体"/>
                <w:b/>
                <w:bCs/>
                <w:kern w:val="0"/>
                <w:szCs w:val="21"/>
              </w:rPr>
            </w:pPr>
            <w:r>
              <w:rPr>
                <w:rFonts w:ascii="宋体" w:hAnsi="宋体" w:cs="宋体" w:hint="eastAsia"/>
                <w:b/>
                <w:bCs/>
                <w:kern w:val="0"/>
                <w:szCs w:val="21"/>
              </w:rPr>
              <w:t>（亏损总额以“-”号填列）</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160,884.3</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405,120.63</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lastRenderedPageBreak/>
              <w:t>减：所得税费用</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0</w:t>
            </w:r>
          </w:p>
        </w:tc>
      </w:tr>
      <w:tr w:rsidTr="0016423D">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四、净利润</w:t>
            </w:r>
          </w:p>
          <w:p>
            <w:pPr>
              <w:widowControl/>
              <w:jc w:val="left"/>
              <w:rPr>
                <w:rFonts w:ascii="宋体" w:hAnsi="宋体" w:cs="宋体"/>
                <w:kern w:val="0"/>
                <w:szCs w:val="21"/>
              </w:rPr>
            </w:pPr>
            <w:r>
              <w:rPr>
                <w:rFonts w:ascii="宋体" w:hAnsi="宋体" w:cs="宋体" w:hint="eastAsia"/>
                <w:kern w:val="0"/>
                <w:szCs w:val="21"/>
              </w:rPr>
              <w:t>（净亏损以“-”号填列）</w:t>
            </w:r>
          </w:p>
        </w:tc>
        <w:tc>
          <w:tcPr>
            <w:tcW w:w="1498"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160,884.3</w:t>
            </w:r>
          </w:p>
        </w:tc>
        <w:tc>
          <w:tcPr>
            <w:tcW w:w="1692"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405,120.63</w:t>
            </w:r>
          </w:p>
        </w:tc>
      </w:tr>
    </w:tbl>
    <!--PH-->
    <!--_SEC_701f71b3a18b4db18d66a4eeb8e81848:END-->
    <!--_SEC_b95918c69efe427d93bb8f84025271eb:START-->
    <w:p>
      <w:pPr gbicc:listString="6.3" gbicc:numText="6.%1" gbicc:numFmt="D" gbicc:numVal="3" gbicc:numId="14">
        <w:pStyle w:val="a7"/>
        <w:numPr>
          <w:ilvl w:val="0"/>
          <w:numId w:val="14"/>
        </w:numPr>
        <w:ind w:firstLineChars="0"/>
        <w:outlineLvl w:val="1"/>
        <w:rPr>
          <w:rFonts w:ascii="宋体" w:hAnsi="宋体"/>
          <w:szCs w:val="21"/>
        </w:rPr>
      </w:pPr>
      <w:r>
        <w:rPr>
          <w:rFonts w:ascii="宋体" w:hAnsi="宋体" w:hint="eastAsia"/>
          <w:szCs w:val="21"/>
        </w:rPr>
        <w:t>所有者权益变动表</w:t>
      </w:r>
    </w:p>
    <w:tbl>
      <w:tblPr>
        <w:tblW w:w="5000" w:type="pct"/>
        <w:tblLook w:val="0000" w:firstRow="0" w:lastRow="0" w:firstColumn="0" w:lastColumn="0" w:noHBand="0" w:noVBand="0"/>
      </w:tblPr>
      <w:tblGrid>
        <w:gridCol w:w="3085"/>
        <w:gridCol w:w="2231"/>
        <w:gridCol w:w="1534"/>
        <w:gridCol w:w="26"/>
        <w:gridCol w:w="1646"/>
      </w:tblGrid>
      <w:tr w:rsidTr="00A31943">
        <w:trPr>
          <w:trHeight w:val="270"/>
        </w:trPr>
        <w:tc>
          <w:tcPr>
            <w:tcW w:w="1810" w:type="pct"/>
            <w:vMerge w:val="restart"/>
            <w:tcBorders>
              <w:top w:val="single" w:sz="4" w:space="0" w:color="auto"/>
              <w:left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项目</w:t>
            </w:r>
          </w:p>
        </w:tc>
        <w:tc>
          <w:tcPr>
            <w:tcW w:w="3190" w:type="pct"/>
            <w:gridSpan w:val="4"/>
            <w:tcBorders>
              <w:top w:val="single" w:sz="4" w:space="0" w:color="auto"/>
              <w:left w:val="nil"/>
              <w:bottom w:val="single" w:sz="4" w:space="0" w:color="auto"/>
              <w:right w:val="single" w:sz="4" w:space="0" w:color="000000"/>
            </w:tcBorders>
            <w:vAlign w:val="center"/>
          </w:tcPr>
          <w:p>
            <w:pPr>
              <w:widowControl/>
              <w:jc w:val="center"/>
              <w:rPr>
                <w:rFonts w:ascii="宋体" w:hAnsi="宋体" w:cs="宋体"/>
                <w:b/>
                <w:bCs/>
                <w:kern w:val="0"/>
                <w:szCs w:val="21"/>
              </w:rPr>
            </w:pPr>
            <w:r>
              <w:rPr>
                <w:rFonts w:ascii="宋体" w:hAnsi="宋体" w:cs="宋体" w:hint="eastAsia"/>
                <w:b/>
                <w:bCs/>
                <w:kern w:val="0"/>
                <w:szCs w:val="21"/>
              </w:rPr>
              <w:t>本期</w:t>
            </w:r>
          </w:p>
          <w:p>
            <w:pPr>
              <w:widowControl/>
              <w:jc w:val="center"/>
              <w:rPr>
                <w:rFonts w:ascii="宋体" w:hAnsi="宋体" w:cs="宋体"/>
                <w:b/>
                <w:bCs/>
                <w:kern w:val="0"/>
                <w:szCs w:val="21"/>
              </w:rPr>
            </w:pPr>
            <w:r>
              <w:rPr>
                <w:rFonts w:ascii="宋体" w:hAnsi="宋体" w:cs="宋体" w:hint="eastAsia"/>
                <w:b/>
                <w:bCs/>
                <w:kern w:val="0"/>
                <w:szCs w:val="21"/>
              </w:rPr>
              <w:t xml:space="preserve">2019年1月1日</w:t>
            </w:r>
            <w:r>
              <w:rPr>
                <w:rFonts w:ascii="宋体" w:hAnsi="宋体" w:cs="宋体" w:hint="eastAsia"/>
                <w:b/>
                <w:bCs/>
                <w:kern w:val="0"/>
                <w:szCs w:val="21"/>
              </w:rPr>
              <w:t xml:space="preserve"> 至 </w:t>
            </w:r>
            <w:r>
              <w:rPr>
                <w:rFonts w:ascii="宋体" w:hAnsi="宋体" w:cs="宋体" w:hint="eastAsia"/>
                <w:b/>
                <w:bCs/>
                <w:kern w:val="0"/>
                <w:szCs w:val="21"/>
              </w:rPr>
              <w:t xml:space="preserve">2019年12月31日</w:t>
            </w:r>
          </w:p>
        </w:tc>
      </w:tr>
      <w:tr w:rsidTr="00A31943">
        <w:trPr>
          <w:trHeight w:val="270"/>
        </w:trPr>
        <w:tc>
          <w:tcPr>
            <w:tcW w:w="1810" w:type="pct"/>
            <w:vMerge/>
            <w:tcBorders>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p>
        </w:tc>
        <w:tc>
          <w:tcPr>
            <w:tcW w:w="1309" w:type="pct"/>
            <w:tcBorders>
              <w:top w:val="nil"/>
              <w:left w:val="nil"/>
              <w:bottom w:val="single" w:sz="4" w:space="0" w:color="auto"/>
              <w:right w:val="single" w:sz="4" w:space="0" w:color="auto"/>
            </w:tcBorders>
            <w:vAlign w:val="center"/>
          </w:tcPr>
          <w:p>
            <w:pPr>
              <w:widowControl/>
              <w:jc w:val="center"/>
              <w:rPr>
                <w:rFonts w:ascii="宋体" w:hAnsi="宋体" w:cs="宋体"/>
                <w:b/>
                <w:kern w:val="0"/>
                <w:szCs w:val="21"/>
              </w:rPr>
            </w:pPr>
            <w:r>
              <w:rPr>
                <w:rFonts w:ascii="宋体" w:hAnsi="宋体" w:cs="宋体" w:hint="eastAsia"/>
                <w:b/>
                <w:kern w:val="0"/>
                <w:szCs w:val="21"/>
              </w:rPr>
              <w:t>实收基金</w:t>
            </w:r>
          </w:p>
        </w:tc>
        <w:tc>
          <w:tcPr>
            <w:tcW w:w="900" w:type="pct"/>
            <w:tcBorders>
              <w:top w:val="nil"/>
              <w:left w:val="nil"/>
              <w:bottom w:val="single" w:sz="4" w:space="0" w:color="auto"/>
              <w:right w:val="single" w:sz="4" w:space="0" w:color="auto"/>
            </w:tcBorders>
            <w:vAlign w:val="center"/>
          </w:tcPr>
          <w:p>
            <w:pPr>
              <w:widowControl/>
              <w:jc w:val="center"/>
              <w:rPr>
                <w:rFonts w:ascii="宋体" w:hAnsi="宋体" w:cs="宋体"/>
                <w:b/>
                <w:kern w:val="0"/>
                <w:szCs w:val="21"/>
              </w:rPr>
            </w:pPr>
            <w:r>
              <w:rPr>
                <w:rFonts w:ascii="宋体" w:hAnsi="宋体" w:cs="宋体" w:hint="eastAsia"/>
                <w:b/>
                <w:kern w:val="0"/>
                <w:szCs w:val="21"/>
              </w:rPr>
              <w:t>未分配利润</w:t>
            </w:r>
          </w:p>
        </w:tc>
        <w:tc>
          <w:tcPr>
            <w:tcW w:w="981" w:type="pct"/>
            <w:gridSpan w:val="2"/>
            <w:tcBorders>
              <w:top w:val="nil"/>
              <w:left w:val="nil"/>
              <w:bottom w:val="single" w:sz="4" w:space="0" w:color="auto"/>
              <w:right w:val="single" w:sz="4" w:space="0" w:color="auto"/>
            </w:tcBorders>
            <w:vAlign w:val="center"/>
          </w:tcPr>
          <w:p>
            <w:pPr>
              <w:widowControl/>
              <w:jc w:val="center"/>
              <w:rPr>
                <w:rFonts w:ascii="宋体" w:hAnsi="宋体" w:cs="宋体"/>
                <w:b/>
                <w:kern w:val="0"/>
                <w:szCs w:val="21"/>
              </w:rPr>
            </w:pPr>
            <w:r>
              <w:rPr>
                <w:rFonts w:ascii="宋体" w:hAnsi="宋体" w:cs="宋体" w:hint="eastAsia"/>
                <w:b/>
                <w:kern w:val="0"/>
                <w:szCs w:val="21"/>
              </w:rPr>
              <w:t>所有者权益合计</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一、期初所有者权益（基金净值）</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10,000,000</w:t>
            </w:r>
          </w:p>
        </w:tc>
        <w:tc>
          <w:tcPr>
            <w:tcW w:w="90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956,728.25</w:t>
            </w:r>
          </w:p>
        </w:tc>
        <w:tc>
          <w:tcPr>
            <w:tcW w:w="981"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10,956,728.25</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二、本期经营活动产生的基金净值变动数（本期利润）</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0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160,884.3</w:t>
            </w:r>
          </w:p>
        </w:tc>
        <w:tc>
          <w:tcPr>
            <w:tcW w:w="981"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160,884.3</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三、本期基金份额交易产生的基金净值变动数（净值减少以“-”号填列）</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0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81"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其中：1.基金申购款</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0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81"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rPr>
            </w:pPr>
            <w:r>
              <w:rPr>
                <w:rFonts w:ascii="宋体" w:hAnsi="宋体" w:hint="eastAsia"/>
              </w:rPr>
              <w:t>2.基金</w:t>
            </w:r>
            <w:proofErr w:type="gramStart"/>
            <w:r>
              <w:rPr>
                <w:rFonts w:ascii="宋体" w:hAnsi="宋体" w:hint="eastAsia"/>
              </w:rPr>
              <w:t>赎回款</w:t>
            </w:r>
            <w:proofErr w:type="gramEnd"/>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0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81"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四、本期向基金份额持有人分配利润产生的基金净值变动（净值减少以“-”号填列）</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0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81"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五、期末所有者权益（基金净值）</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10,000,000</w:t>
            </w:r>
          </w:p>
        </w:tc>
        <w:tc>
          <w:tcPr>
            <w:tcW w:w="900"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1,117,612.55</w:t>
            </w:r>
          </w:p>
        </w:tc>
        <w:tc>
          <w:tcPr>
            <w:tcW w:w="981"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11,117,612.55</w:t>
            </w:r>
          </w:p>
        </w:tc>
      </w:tr>
      <w:tr w:rsidTr="00A31943">
        <w:trPr>
          <w:trHeight w:val="270"/>
        </w:trPr>
        <w:tc>
          <w:tcPr>
            <w:tcW w:w="1810" w:type="pct"/>
            <w:vMerge w:val="restart"/>
            <w:tcBorders>
              <w:top w:val="nil"/>
              <w:left w:val="single" w:sz="4" w:space="0" w:color="auto"/>
              <w:right w:val="single" w:sz="4" w:space="0" w:color="auto"/>
            </w:tcBorders>
            <w:vAlign w:val="center"/>
          </w:tcPr>
          <w:p>
            <w:pPr>
              <w:widowControl/>
              <w:jc w:val="center"/>
              <w:rPr>
                <w:rFonts w:ascii="宋体" w:hAnsi="宋体" w:cs="宋体"/>
                <w:b/>
                <w:bCs/>
                <w:kern w:val="0"/>
                <w:szCs w:val="21"/>
              </w:rPr>
            </w:pPr>
            <w:r>
              <w:rPr>
                <w:rFonts w:ascii="宋体" w:hAnsi="宋体" w:cs="宋体" w:hint="eastAsia"/>
                <w:b/>
                <w:bCs/>
                <w:kern w:val="0"/>
                <w:szCs w:val="21"/>
              </w:rPr>
              <w:t>项目</w:t>
            </w:r>
          </w:p>
        </w:tc>
        <w:tc>
          <w:tcPr>
            <w:tcW w:w="3190" w:type="pct"/>
            <w:gridSpan w:val="4"/>
            <w:tcBorders>
              <w:top w:val="single" w:sz="4" w:space="0" w:color="auto"/>
              <w:left w:val="nil"/>
              <w:bottom w:val="single" w:sz="4" w:space="0" w:color="auto"/>
              <w:right w:val="single" w:sz="4" w:space="0" w:color="000000"/>
            </w:tcBorders>
            <w:vAlign w:val="center"/>
          </w:tcPr>
          <w:p>
            <w:pPr>
              <w:widowControl/>
              <w:jc w:val="center"/>
              <w:rPr>
                <w:rFonts w:ascii="宋体" w:hAnsi="宋体" w:cs="宋体"/>
                <w:b/>
                <w:bCs/>
                <w:kern w:val="0"/>
                <w:szCs w:val="21"/>
              </w:rPr>
            </w:pPr>
            <w:r>
              <w:rPr>
                <w:rFonts w:ascii="宋体" w:hAnsi="宋体" w:cs="宋体" w:hint="eastAsia"/>
                <w:b/>
                <w:bCs/>
                <w:kern w:val="0"/>
                <w:szCs w:val="21"/>
              </w:rPr>
              <w:t>上年度可比期间</w:t>
            </w:r>
          </w:p>
          <w:p>
            <w:pPr>
              <w:widowControl/>
              <w:jc w:val="center"/>
              <w:rPr>
                <w:rFonts w:ascii="宋体" w:hAnsi="宋体" w:cs="宋体"/>
                <w:b/>
                <w:bCs/>
                <w:kern w:val="0"/>
                <w:szCs w:val="21"/>
              </w:rPr>
            </w:pPr>
            <w:r>
              <w:rPr>
                <w:rFonts w:ascii="宋体" w:hAnsi="宋体" w:cs="宋体" w:hint="eastAsia"/>
                <w:b/>
                <w:kern w:val="0"/>
                <w:szCs w:val="21"/>
              </w:rPr>
              <w:t xml:space="preserve">2018年1月1日</w:t>
            </w:r>
            <w:r>
              <w:rPr>
                <w:rFonts w:ascii="宋体" w:hAnsi="宋体" w:cs="宋体" w:hint="eastAsia"/>
                <w:b/>
                <w:kern w:val="0"/>
                <w:szCs w:val="21"/>
              </w:rPr>
              <w:t xml:space="preserve"> 至 </w:t>
            </w:r>
            <w:r>
              <w:rPr>
                <w:rFonts w:ascii="宋体" w:hAnsi="宋体" w:cs="宋体" w:hint="eastAsia"/>
                <w:b/>
                <w:kern w:val="0"/>
                <w:szCs w:val="21"/>
              </w:rPr>
              <w:t xml:space="preserve">2018年12月31日</w:t>
            </w:r>
          </w:p>
        </w:tc>
      </w:tr>
      <w:tr w:rsidTr="00A31943">
        <w:trPr>
          <w:trHeight w:val="270"/>
        </w:trPr>
        <w:tc>
          <w:tcPr>
            <w:tcW w:w="1810" w:type="pct"/>
            <w:vMerge/>
            <w:tcBorders>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p>
        </w:tc>
        <w:tc>
          <w:tcPr>
            <w:tcW w:w="1309" w:type="pct"/>
            <w:tcBorders>
              <w:top w:val="nil"/>
              <w:left w:val="nil"/>
              <w:bottom w:val="single" w:sz="4" w:space="0" w:color="auto"/>
              <w:right w:val="single" w:sz="4" w:space="0" w:color="auto"/>
            </w:tcBorders>
            <w:vAlign w:val="center"/>
          </w:tcPr>
          <w:p>
            <w:pPr>
              <w:widowControl/>
              <w:jc w:val="center"/>
              <w:rPr>
                <w:rFonts w:ascii="宋体" w:hAnsi="宋体" w:cs="宋体"/>
                <w:b/>
                <w:kern w:val="0"/>
                <w:szCs w:val="21"/>
              </w:rPr>
            </w:pPr>
            <w:r>
              <w:rPr>
                <w:rFonts w:ascii="宋体" w:hAnsi="宋体" w:cs="宋体" w:hint="eastAsia"/>
                <w:b/>
                <w:kern w:val="0"/>
                <w:szCs w:val="21"/>
              </w:rPr>
              <w:t>实收基金</w:t>
            </w:r>
          </w:p>
        </w:tc>
        <w:tc>
          <w:tcPr>
            <w:tcW w:w="915" w:type="pct"/>
            <w:gridSpan w:val="2"/>
            <w:tcBorders>
              <w:top w:val="nil"/>
              <w:left w:val="nil"/>
              <w:bottom w:val="single" w:sz="4" w:space="0" w:color="auto"/>
              <w:right w:val="single" w:sz="4" w:space="0" w:color="auto"/>
            </w:tcBorders>
            <w:vAlign w:val="center"/>
          </w:tcPr>
          <w:p>
            <w:pPr>
              <w:widowControl/>
              <w:jc w:val="center"/>
              <w:rPr>
                <w:rFonts w:ascii="宋体" w:hAnsi="宋体" w:cs="宋体"/>
                <w:b/>
                <w:kern w:val="0"/>
                <w:szCs w:val="21"/>
              </w:rPr>
            </w:pPr>
            <w:r>
              <w:rPr>
                <w:rFonts w:ascii="宋体" w:hAnsi="宋体" w:cs="宋体" w:hint="eastAsia"/>
                <w:b/>
                <w:kern w:val="0"/>
                <w:szCs w:val="21"/>
              </w:rPr>
              <w:t>未分配利润</w:t>
            </w:r>
          </w:p>
        </w:tc>
        <w:tc>
          <w:tcPr>
            <w:tcW w:w="966" w:type="pct"/>
            <w:tcBorders>
              <w:top w:val="nil"/>
              <w:left w:val="nil"/>
              <w:bottom w:val="single" w:sz="4" w:space="0" w:color="auto"/>
              <w:right w:val="single" w:sz="4" w:space="0" w:color="auto"/>
            </w:tcBorders>
            <w:vAlign w:val="center"/>
          </w:tcPr>
          <w:p>
            <w:pPr>
              <w:widowControl/>
              <w:jc w:val="center"/>
              <w:rPr>
                <w:rFonts w:ascii="宋体" w:hAnsi="宋体" w:cs="宋体"/>
                <w:b/>
                <w:kern w:val="0"/>
                <w:szCs w:val="21"/>
              </w:rPr>
            </w:pPr>
            <w:r>
              <w:rPr>
                <w:rFonts w:ascii="宋体" w:hAnsi="宋体" w:cs="宋体" w:hint="eastAsia"/>
                <w:b/>
                <w:kern w:val="0"/>
                <w:szCs w:val="21"/>
              </w:rPr>
              <w:t>所有者权益合计</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一、期初所有者权益（基金净值）</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13,128,720.88</w:t>
            </w:r>
          </w:p>
        </w:tc>
        <w:tc>
          <w:tcPr>
            <w:tcW w:w="915"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784,901.45</w:t>
            </w:r>
          </w:p>
        </w:tc>
        <w:tc>
          <w:tcPr>
            <w:tcW w:w="966"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13,913,622.33</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二、本期经营活动产生的基金净值变动数（本期利润）</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15"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405,120.63</w:t>
            </w:r>
          </w:p>
        </w:tc>
        <w:tc>
          <w:tcPr>
            <w:tcW w:w="966"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405,120.63</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三、本期基金份额交易产生的基金净值变动数（净值减少以“-”号填列）</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-3,128,720.88</w:t>
            </w:r>
          </w:p>
        </w:tc>
        <w:tc>
          <w:tcPr>
            <w:tcW w:w="915"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-233,293.83</w:t>
            </w:r>
          </w:p>
        </w:tc>
        <w:tc>
          <w:tcPr>
            <w:tcW w:w="966"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-3,362,014.71</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其中：1.基金申购款</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15"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66"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ind w:firstLineChars="300" w:firstLine="630"/>
              <w:jc w:val="left"/>
              <w:rPr>
                <w:rFonts w:ascii="宋体" w:hAnsi="宋体" w:cs="宋体"/>
                <w:kern w:val="0"/>
                <w:szCs w:val="21"/>
              </w:rPr>
            </w:pPr>
            <w:r>
              <w:rPr>
                <w:rFonts w:ascii="宋体" w:hAnsi="宋体" w:cs="宋体" w:hint="eastAsia"/>
                <w:kern w:val="0"/>
                <w:szCs w:val="21"/>
              </w:rPr>
              <w:t>2.基金</w:t>
            </w:r>
            <w:proofErr w:type="gramStart"/>
            <w:r>
              <w:rPr>
                <w:rFonts w:ascii="宋体" w:hAnsi="宋体" w:cs="宋体" w:hint="eastAsia"/>
                <w:kern w:val="0"/>
                <w:szCs w:val="21"/>
              </w:rPr>
              <w:t>赎回款</w:t>
            </w:r>
            <w:proofErr w:type="gramEnd"/>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-3,128,720.88</w:t>
            </w:r>
          </w:p>
        </w:tc>
        <w:tc>
          <w:tcPr>
            <w:tcW w:w="915"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-233,293.83</w:t>
            </w:r>
          </w:p>
        </w:tc>
        <w:tc>
          <w:tcPr>
            <w:tcW w:w="966"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-3,362,014.71</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四、本期向基金份额持有人分配利润产生的基金净值变动（净值减少以“-”号填列）</w:t>
            </w:r>
          </w:p>
        </w:tc>
        <w:tc>
          <w:tcPr>
            <w:tcW w:w="1309"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15" w:type="pct"/>
            <w:gridSpan w:val="2"/>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c>
          <w:tcPr>
            <w:tcW w:w="966" w:type="pct"/>
            <w:tcBorders>
              <w:top w:val="nil"/>
              <w:left w:val="nil"/>
              <w:bottom w:val="single" w:sz="4" w:space="0" w:color="auto"/>
              <w:right w:val="single" w:sz="4" w:space="0" w:color="auto"/>
            </w:tcBorders>
          </w:tcPr>
          <w:p>
            <w:pPr>
              <w:widowControl/>
              <w:jc w:val="right"/>
              <w:rPr>
                <w:rFonts w:ascii="宋体" w:hAnsi="宋体" w:cs="宋体"/>
                <w:kern w:val="0"/>
                <w:szCs w:val="21"/>
              </w:rPr>
            </w:pPr>
            <w:r>
              <w:rPr>
                <w:rFonts w:ascii="宋体" w:hAnsi="宋体" w:cs="宋体"/>
                <w:kern w:val="0"/>
                <w:szCs w:val="21"/>
              </w:rPr>
              <w:t xml:space="preserve">0</w:t>
            </w:r>
          </w:p>
        </w:tc>
      </w:tr>
      <w:tr w:rsidTr="00A31943">
        <w:trPr>
          <w:trHeight w:val="270"/>
        </w:trPr>
        <w:tc>
          <w:tcPr>
            <w:tcW w:w="1810" w:type="pct"/>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Cs w:val="21"/>
              </w:rPr>
            </w:pPr>
            <w:r>
              <w:rPr>
                <w:rFonts w:ascii="宋体" w:hAnsi="宋体" w:cs="宋体" w:hint="eastAsia"/>
                <w:kern w:val="0"/>
                <w:szCs w:val="21"/>
              </w:rPr>
              <w:t>五、期末所有者权益（基金净值）</w:t>
            </w:r>
          </w:p>
        </w:tc>
        <w:tc>
          <w:tcPr>
            <w:tcW w:w="1309"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10,000,000</w:t>
            </w:r>
          </w:p>
        </w:tc>
        <w:tc>
          <w:tcPr>
            <w:tcW w:w="915" w:type="pct"/>
            <w:gridSpan w:val="2"/>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956,728.25</w:t>
            </w:r>
          </w:p>
        </w:tc>
        <w:tc>
          <w:tcPr>
            <w:tcW w:w="966" w:type="pct"/>
            <w:tcBorders>
              <w:top w:val="nil"/>
              <w:left w:val="nil"/>
              <w:bottom w:val="single" w:sz="4" w:space="0" w:color="auto"/>
              <w:right w:val="single" w:sz="4" w:space="0" w:color="auto"/>
            </w:tcBorders>
            <w:vAlign w:val="center"/>
          </w:tcPr>
          <w:p>
            <w:pPr>
              <w:widowControl/>
              <w:jc w:val="right"/>
              <w:rPr>
                <w:rFonts w:ascii="宋体" w:hAnsi="宋体" w:cs="宋体"/>
                <w:kern w:val="0"/>
                <w:szCs w:val="21"/>
              </w:rPr>
            </w:pPr>
            <w:r>
              <w:rPr>
                <w:rFonts w:ascii="宋体" w:hAnsi="宋体" w:cs="宋体"/>
                <w:kern w:val="0"/>
                <w:szCs w:val="21"/>
              </w:rPr>
              <w:t xml:space="preserve">10,956,728.25</w:t>
            </w:r>
          </w:p>
        </w:tc>
      </w:tr>
    </w:tbl>
    <!--PH-->
    <!--_SEC_b95918c69efe427d93bb8f84025271eb:END-->
    <w:p>
      <w:pPr>
        <w:rPr>
          <w:rFonts w:ascii="宋体" w:hAnsi="宋体"/>
          <w:vanish/>
          <w:szCs w:val="21"/>
        </w:rPr>
      </w:pPr>
    </w:p>
    <w:p emptyAbove="1">
      <w:pPr gbicc:listString="7、" gbicc:numText="%1、" gbicc:numFmt="D" gbicc:numVal="7" gbicc:numId="11">
        <w:pStyle w:val="1"/>
        <w:numPr>
          <w:ilvl w:val="0"/>
          <w:numId w:val="11"/>
        </w:numPr>
        <w:rPr>
          <w:rFonts w:ascii="宋体" w:hAnsi="宋体"/>
          <w:szCs w:val="21"/>
        </w:rPr>
      </w:pPr>
      <w:bookmarkStart w:id="7" w:name="_Toc445130143"/>
      <w:r>
        <w:rPr>
          <w:rFonts w:ascii="宋体" w:hAnsi="宋体" w:hint="eastAsia"/>
          <w:szCs w:val="21"/>
        </w:rPr>
        <w:t>期末投资组合情况</w:t>
      </w:r>
      <w:bookmarkEnd w:id="7"/>
    </w:p>
    <!--_SEC_6281f0afa3fe40848f8992ac943427b2:START-->
    <w:p>
      <w:pPr gbicc:listString="7.1" gbicc:numText="7.%1" gbicc:numFmt="D" gbicc:numVal="1" gbicc:numId="15">
        <w:pStyle w:val="a7"/>
        <w:numPr>
          <w:ilvl w:val="0"/>
          <w:numId w:val="15"/>
        </w:numPr>
        <w:ind w:firstLineChars="0"/>
        <w:outlineLvl w:val="1"/>
        <w:rPr>
          <w:rFonts w:ascii="宋体" w:hAnsi="宋体"/>
          <w:szCs w:val="21"/>
        </w:rPr>
      </w:pPr>
      <w:r>
        <w:rPr>
          <w:rFonts w:ascii="宋体" w:hAnsi="宋体" w:hint="eastAsia"/>
          <w:szCs w:val="21"/>
        </w:rPr>
        <w:t>期末基金资产组合情况</w:t>
      </w:r>
    </w:p>
    <w:p>
      <w:pPr>
        <w:jc w:val="right"/>
        <w:rPr>
          <w:rFonts w:ascii="宋体" w:hAnsi="宋体"/>
          <w:szCs w:val="21"/>
        </w:rPr>
      </w:pPr>
      <w:r>
        <w:rPr>
          <w:rFonts w:ascii="宋体" w:hAnsi="宋体" w:hint="eastAsia"/>
          <w:szCs w:val="21"/>
        </w:rPr>
        <w:lastRenderedPageBreak/>
        <w:t>金额单位：元</w:t>
      </w:r>
    </w:p>
    <w:tbl>
      <w:tblPr>
        <w:tblW w:w="5000" w:type="pct"/>
        <w:tblCellMar>
          <w:left w:w="0" w:type="dxa"/>
          <w:right w:w="0" w:type="dxa"/>
        </w:tblCellMar>
        <w:tblLook w:val="0000" w:firstRow="0" w:lastRow="0" w:firstColumn="0" w:lastColumn="0" w:noHBand="0" w:noVBand="0"/>
      </w:tblPr>
      <w:tblGrid>
        <w:gridCol w:w="640"/>
        <w:gridCol w:w="3476"/>
        <w:gridCol w:w="2146"/>
        <w:gridCol w:w="2054"/>
      </w:tblGrid>
      <w:tr w:rsidTr="00050A1C">
        <w:trPr>
          <w:trHeight w:val="20"/>
        </w:trPr>
        <w:tc>
          <w:tcPr>
            <w:tcW w:w="385" w:type="pct"/>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宋体" w:hAnsi="宋体"/>
                <w:b/>
                <w:szCs w:val="21"/>
              </w:rPr>
            </w:pPr>
            <w:r>
              <w:rPr>
                <w:rFonts w:ascii="宋体" w:hAnsi="宋体" w:hint="eastAsia"/>
                <w:b/>
                <w:szCs w:val="21"/>
              </w:rPr>
              <w:t>序号</w:t>
            </w:r>
          </w:p>
        </w:tc>
        <w:tc>
          <w:tcPr>
            <w:tcW w:w="2090" w:type="pct"/>
            <w:tcBorders>
              <w:top w:val="single" w:sz="4" w:space="0" w:color="auto"/>
              <w:left w:val="nil"/>
              <w:bottom w:val="single" w:sz="4" w:space="0" w:color="auto"/>
              <w:right w:val="single" w:sz="4" w:space="0" w:color="auto"/>
            </w:tcBorders>
            <w:vAlign w:val="center"/>
          </w:tcPr>
          <w:p>
            <w:pPr>
              <w:adjustRightInd w:val="0"/>
              <w:snapToGrid w:val="0"/>
              <w:jc w:val="center"/>
              <w:rPr>
                <w:rFonts w:ascii="宋体" w:hAnsi="宋体"/>
                <w:b/>
                <w:szCs w:val="21"/>
              </w:rPr>
            </w:pPr>
            <w:r>
              <w:rPr>
                <w:rFonts w:ascii="宋体" w:hAnsi="宋体"/>
                <w:b/>
                <w:szCs w:val="21"/>
              </w:rPr>
              <w:t>项目</w:t>
            </w:r>
          </w:p>
        </w:tc>
        <w:tc>
          <w:tcPr>
            <w:tcW w:w="1290" w:type="pct"/>
            <w:tcBorders>
              <w:top w:val="single" w:sz="4" w:space="0" w:color="auto"/>
              <w:left w:val="nil"/>
              <w:bottom w:val="single" w:sz="4" w:space="0" w:color="auto"/>
              <w:right w:val="single" w:sz="4" w:space="0" w:color="auto"/>
            </w:tcBorders>
            <w:vAlign w:val="center"/>
          </w:tcPr>
          <w:p>
            <w:pPr>
              <w:adjustRightInd w:val="0"/>
              <w:snapToGrid w:val="0"/>
              <w:jc w:val="center"/>
              <w:rPr>
                <w:rFonts w:ascii="宋体" w:hAnsi="宋体"/>
                <w:b/>
                <w:szCs w:val="21"/>
              </w:rPr>
            </w:pPr>
            <w:r>
              <w:rPr>
                <w:rFonts w:ascii="宋体" w:hAnsi="宋体"/>
                <w:b/>
                <w:szCs w:val="21"/>
              </w:rPr>
              <w:t>金额</w:t>
            </w:r>
          </w:p>
          <w:p>
            <w:pPr>
              <w:adjustRightInd w:val="0"/>
              <w:snapToGrid w:val="0"/>
              <w:jc w:val="center"/>
              <w:rPr>
                <w:rFonts w:ascii="宋体" w:hAnsi="宋体"/>
                <w:b/>
                <w:szCs w:val="21"/>
              </w:rPr>
            </w:pPr>
            <w:r>
              <w:rPr>
                <w:rFonts w:ascii="宋体" w:hAnsi="宋体" w:hint="eastAsia"/>
                <w:b/>
                <w:szCs w:val="21"/>
              </w:rPr>
              <w:t>(</w:t>
            </w:r>
            <w:r>
              <w:rPr>
                <w:rFonts w:ascii="宋体" w:hAnsi="宋体" w:hint="eastAsia"/>
                <w:b/>
                <w:szCs w:val="21"/>
              </w:rPr>
              <w:t>人民币</w:t>
            </w:r>
            <w:r>
              <w:rPr>
                <w:rFonts w:ascii="宋体" w:hAnsi="宋体" w:hint="eastAsia"/>
                <w:b/>
                <w:szCs w:val="21"/>
              </w:rPr>
              <w:t>)</w:t>
            </w:r>
          </w:p>
        </w:tc>
        <w:tc>
          <w:tcPr>
            <w:tcW w:w="1235" w:type="pct"/>
            <w:tcBorders>
              <w:top w:val="single" w:sz="4" w:space="0" w:color="auto"/>
              <w:left w:val="nil"/>
              <w:bottom w:val="single" w:sz="4" w:space="0" w:color="auto"/>
              <w:right w:val="single" w:sz="4" w:space="0" w:color="auto"/>
            </w:tcBorders>
            <w:vAlign w:val="center"/>
          </w:tcPr>
          <w:p>
            <w:pPr>
              <w:adjustRightInd w:val="0"/>
              <w:snapToGrid w:val="0"/>
              <w:jc w:val="center"/>
              <w:rPr>
                <w:rFonts w:ascii="宋体" w:hAnsi="宋体"/>
                <w:b/>
                <w:szCs w:val="21"/>
              </w:rPr>
            </w:pPr>
            <w:r>
              <w:rPr>
                <w:rFonts w:ascii="宋体" w:hAnsi="宋体"/>
                <w:b/>
                <w:szCs w:val="21"/>
              </w:rPr>
              <w:t>占基金总资产的</w:t>
            </w:r>
          </w:p>
          <w:p>
            <w:pPr>
              <w:adjustRightInd w:val="0"/>
              <w:snapToGrid w:val="0"/>
              <w:jc w:val="center"/>
              <w:rPr>
                <w:rFonts w:ascii="宋体" w:hAnsi="宋体"/>
                <w:b/>
                <w:szCs w:val="21"/>
              </w:rPr>
            </w:pPr>
            <w:r>
              <w:rPr>
                <w:rFonts w:ascii="宋体" w:hAnsi="宋体"/>
                <w:b/>
                <w:szCs w:val="21"/>
              </w:rPr>
              <w:t>比例（%）</w:t>
            </w:r>
          </w:p>
        </w:tc>
      </w:tr>
      <w:tr w:rsidTr="00B83FA0">
        <w:trPr>
          <w:trHeight w:val="257"/>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hint="eastAsia"/>
                <w:szCs w:val="21"/>
              </w:rPr>
              <w:t>1</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权益投资</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9"/>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其中：普通股</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widowControl/>
              <w:ind w:firstLineChars="300" w:firstLine="630"/>
              <w:jc w:val="left"/>
              <w:rPr>
                <w:rFonts w:ascii="宋体" w:hAnsi="宋体"/>
                <w:szCs w:val="21"/>
              </w:rPr>
            </w:pPr>
            <w:r>
              <w:rPr>
                <w:rFonts w:ascii="宋体" w:hAnsi="宋体" w:hint="eastAsia"/>
                <w:szCs w:val="21"/>
              </w:rPr>
              <w:t>存托凭证</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hint="eastAsia"/>
                <w:szCs w:val="21"/>
              </w:rPr>
              <w:t>2</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基金投资</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hint="eastAsia"/>
                <w:szCs w:val="21"/>
              </w:rPr>
              <w:t>3</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固定收益投资</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3,311,670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28.61</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其中：</w:t>
            </w:r>
            <w:r>
              <w:rPr>
                <w:rFonts w:ascii="宋体" w:hAnsi="宋体"/>
                <w:szCs w:val="21"/>
              </w:rPr>
              <w:t>债券</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3,311,670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28.61</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szCs w:val="21"/>
              </w:rPr>
              <w:t>资产支持证券</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hint="eastAsia"/>
                <w:szCs w:val="21"/>
              </w:rPr>
              <w:t>4</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金融衍生</w:t>
            </w:r>
            <w:proofErr w:type="gramStart"/>
            <w:r>
              <w:rPr>
                <w:rFonts w:ascii="宋体" w:hAnsi="宋体" w:hint="eastAsia"/>
                <w:szCs w:val="21"/>
              </w:rPr>
              <w:t>品投资</w:t>
            </w:r>
            <w:proofErr w:type="gramEnd"/>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其中：远期</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ind w:firstLineChars="300" w:firstLine="630"/>
              <w:jc w:val="left"/>
              <w:rPr>
                <w:rFonts w:ascii="宋体" w:hAnsi="宋体"/>
              </w:rPr>
            </w:pPr>
            <w:r>
              <w:rPr>
                <w:rFonts w:ascii="宋体" w:hAnsi="宋体" w:hint="eastAsia"/>
              </w:rPr>
              <w:t>期货</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ind w:firstLineChars="300" w:firstLine="630"/>
              <w:jc w:val="left"/>
              <w:rPr>
                <w:rFonts w:ascii="宋体" w:hAnsi="宋体"/>
              </w:rPr>
            </w:pPr>
            <w:r>
              <w:rPr>
                <w:rFonts w:ascii="宋体" w:hAnsi="宋体" w:hint="eastAsia"/>
              </w:rPr>
              <w:t>期权</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ind w:firstLineChars="300" w:firstLine="630"/>
              <w:jc w:val="left"/>
              <w:rPr>
                <w:rFonts w:ascii="宋体" w:hAnsi="宋体"/>
              </w:rPr>
            </w:pPr>
            <w:r>
              <w:rPr>
                <w:rFonts w:ascii="宋体" w:hAnsi="宋体" w:hint="eastAsia"/>
              </w:rPr>
              <w:t>权证</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hint="eastAsia"/>
                <w:szCs w:val="21"/>
              </w:rPr>
              <w:t>5</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买入返售金融资产</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4,778,023.89</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41.28</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adjustRightInd w:val="0"/>
              <w:snapToGrid w:val="0"/>
              <w:ind w:left="630" w:hangingChars="300" w:hanging="630"/>
              <w:rPr>
                <w:rFonts w:ascii="宋体" w:hAnsi="宋体"/>
                <w:szCs w:val="21"/>
              </w:rPr>
            </w:pPr>
            <w:r>
              <w:rPr>
                <w:rFonts w:ascii="宋体" w:hAnsi="宋体"/>
                <w:szCs w:val="21"/>
              </w:rPr>
              <w:t>其中：买断式回购的买入返售</w:t>
            </w:r>
            <w:r>
              <w:rPr>
                <w:rFonts w:ascii="宋体" w:hAnsi="宋体" w:hint="eastAsia"/>
                <w:szCs w:val="21"/>
              </w:rPr>
              <w:t>金融资产</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hint="eastAsia"/>
                <w:szCs w:val="21"/>
              </w:rPr>
              <w:t>6</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货币市场工具</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0</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hint="eastAsia"/>
                <w:szCs w:val="21"/>
              </w:rPr>
              <w:t>7</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银行存款和结算备付金合计</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393,033.79</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3.4</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szCs w:val="21"/>
              </w:rPr>
              <w:t xml:space="preserve">8</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szCs w:val="21"/>
              </w:rPr>
              <w:t xml:space="preserve">其他各项资产</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3,092,193.93</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26.71</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r>
              <w:rPr>
                <w:rFonts w:ascii="宋体" w:hAnsi="宋体"/>
                <w:szCs w:val="21"/>
              </w:rPr>
              <w:t xml:space="preserve">-</w:t>
            </w: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szCs w:val="21"/>
              </w:rPr>
              <w:t xml:space="preserve">-</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w:t>
            </w:r>
          </w:p>
        </w:tc>
      </w:tr>
      <w:tr w:rsidTr="00050A1C">
        <w:trPr>
          <w:trHeight w:val="20"/>
        </w:trPr>
        <w:tc>
          <w:tcPr>
            <w:tcW w:w="385" w:type="pct"/>
            <w:tcBorders>
              <w:top w:val="single" w:sz="4" w:space="0" w:color="auto"/>
              <w:left w:val="single" w:sz="4" w:space="0" w:color="auto"/>
              <w:bottom w:val="single" w:sz="4" w:space="0" w:color="auto"/>
              <w:right w:val="single" w:sz="4" w:space="0" w:color="auto"/>
            </w:tcBorders>
          </w:tcPr>
          <w:p>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pPr>
              <w:adjustRightInd w:val="0"/>
              <w:snapToGrid w:val="0"/>
              <w:rPr>
                <w:rFonts w:ascii="宋体" w:hAnsi="宋体"/>
                <w:szCs w:val="21"/>
              </w:rPr>
            </w:pPr>
            <w:r>
              <w:rPr>
                <w:rFonts w:ascii="宋体" w:hAnsi="宋体" w:hint="eastAsia"/>
                <w:szCs w:val="21"/>
              </w:rPr>
              <w:t>合计</w:t>
            </w:r>
          </w:p>
        </w:tc>
        <w:tc>
          <w:tcPr>
            <w:tcW w:w="1290"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11,574,921.61</w:t>
            </w:r>
          </w:p>
        </w:tc>
        <w:tc>
          <w:tcPr>
            <w:tcW w:w="1235" w:type="pct"/>
            <w:tcBorders>
              <w:top w:val="single" w:sz="4" w:space="0" w:color="auto"/>
              <w:left w:val="nil"/>
              <w:bottom w:val="single" w:sz="4" w:space="0" w:color="auto"/>
              <w:right w:val="single" w:sz="4" w:space="0" w:color="auto"/>
            </w:tcBorders>
            <w:vAlign w:val="center"/>
          </w:tcPr>
          <w:p>
            <w:pPr>
              <w:jc w:val="right"/>
              <w:rPr>
                <w:rFonts w:ascii="宋体" w:hAnsi="宋体"/>
                <w:kern w:val="0"/>
                <w:szCs w:val="21"/>
              </w:rPr>
            </w:pPr>
            <w:r>
              <w:rPr>
                <w:rFonts w:ascii="宋体" w:hAnsi="宋体"/>
                <w:kern w:val="0"/>
                <w:szCs w:val="21"/>
              </w:rPr>
              <w:t xml:space="preserve">100</w:t>
            </w:r>
          </w:p>
        </w:tc>
      </w:tr>
    </w:tbl>
    <!--PH-->
    <!--_SEC_6281f0afa3fe40848f8992ac943427b2:END-->
    <!--_SEC_b8fd8148af7d47da8f153315091db4a7:START-->
    <w:p>
      <w:pPr gbicc:listString="7.2" gbicc:numText="7.%1" gbicc:numFmt="D" gbicc:numVal="2" gbicc:numId="15">
        <w:pStyle w:val="a7"/>
        <w:numPr>
          <w:ilvl w:val="0"/>
          <w:numId w:val="15"/>
        </w:numPr>
        <w:ind w:firstLineChars="0"/>
        <w:outlineLvl w:val="1"/>
        <w:rPr>
          <w:rFonts w:ascii="宋体" w:hAnsi="宋体"/>
          <w:szCs w:val="21"/>
        </w:rPr>
      </w:pPr>
      <w:r>
        <w:rPr>
          <w:rFonts w:ascii="宋体" w:hAnsi="宋体" w:hint="eastAsia"/>
          <w:szCs w:val="21"/>
        </w:rPr>
        <w:t>报告期末按行业分类的股票投资组合</w:t>
      </w:r>
    </w:p>
    <w:p>
      <w:pPr gbicc:listString="7.2.1" gbicc:numText="7.2.%1" gbicc:numFmt="D" gbicc:numVal="1" gbicc:numId="16">
        <w:pStyle w:val="a7"/>
        <w:numPr>
          <w:ilvl w:val="0"/>
          <w:numId w:val="16"/>
        </w:numPr>
        <w:ind w:firstLineChars="0"/>
        <w:outlineLvl w:val="2"/>
        <w:rPr>
          <w:rFonts w:ascii="宋体" w:hAnsi="宋体"/>
          <w:szCs w:val="21"/>
        </w:rPr>
      </w:pPr>
      <w:r>
        <w:rPr>
          <w:rFonts w:ascii="宋体" w:hAnsi="宋体" w:hint="eastAsia"/>
          <w:szCs w:val="21"/>
        </w:rPr>
        <w:t>报告期末按行业分类的境内股票投资组合</w:t>
      </w:r>
    </w:p>
    <w:p>
      <w:pPr>
        <w:jc w:val="right"/>
        <w:rPr>
          <w:rFonts w:ascii="宋体" w:hAnsi="宋体"/>
          <w:szCs w:val="21"/>
        </w:rPr>
      </w:pPr>
      <w:r>
        <w:rPr>
          <w:rFonts w:ascii="宋体" w:hAnsi="宋体" w:hint="eastAsia"/>
          <w:szCs w:val="21"/>
        </w:rPr>
        <w:t>金额单位：元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526"/>
        <w:gridCol w:w="2182"/>
        <w:gridCol w:w="2158"/>
      </w:tblGrid>
      <w:tr w:rsidTr="00050A1C">
        <w:trPr>
          <w:tblHeader/>
        </w:trPr>
        <w:tc>
          <w:tcPr>
            <w:tcW w:w="385" w:type="pct"/>
            <w:vAlign w:val="center"/>
          </w:tcPr>
          <w:p>
            <w:pPr>
              <w:jc w:val="center"/>
              <w:rPr>
                <w:rFonts w:ascii="宋体" w:hAnsi="宋体"/>
                <w:b/>
                <w:szCs w:val="21"/>
              </w:rPr>
            </w:pPr>
            <w:r>
              <w:rPr>
                <w:rFonts w:ascii="宋体" w:hAnsi="宋体" w:hint="eastAsia"/>
                <w:b/>
                <w:szCs w:val="21"/>
              </w:rPr>
              <w:t>序号</w:t>
            </w:r>
          </w:p>
        </w:tc>
        <w:tc>
          <w:tcPr>
            <w:tcW w:w="2069" w:type="pct"/>
            <w:vAlign w:val="center"/>
          </w:tcPr>
          <w:p>
            <w:pPr>
              <w:jc w:val="center"/>
              <w:rPr>
                <w:rFonts w:ascii="宋体" w:hAnsi="宋体"/>
                <w:b/>
                <w:szCs w:val="21"/>
              </w:rPr>
            </w:pPr>
            <w:r>
              <w:rPr>
                <w:rFonts w:ascii="宋体" w:hAnsi="宋体" w:hint="eastAsia"/>
                <w:b/>
                <w:szCs w:val="21"/>
              </w:rPr>
              <w:t>行业类别</w:t>
            </w:r>
          </w:p>
        </w:tc>
        <w:tc>
          <w:tcPr>
            <w:tcW w:w="1280" w:type="pct"/>
            <w:vAlign w:val="center"/>
          </w:tcPr>
          <w:p>
            <w:pPr>
              <w:jc w:val="center"/>
              <w:rPr>
                <w:rFonts w:ascii="宋体" w:hAnsi="宋体"/>
                <w:b/>
                <w:szCs w:val="21"/>
              </w:rPr>
            </w:pPr>
            <w:r>
              <w:rPr>
                <w:rFonts w:ascii="宋体" w:hAnsi="宋体" w:hint="eastAsia"/>
                <w:b/>
                <w:szCs w:val="21"/>
              </w:rPr>
              <w:t>公允价值</w:t>
            </w:r>
          </w:p>
        </w:tc>
        <w:tc>
          <w:tcPr>
            <w:tcW w:w="1266" w:type="pct"/>
            <w:vAlign w:val="center"/>
          </w:tcPr>
          <w:p>
            <w:pPr>
              <w:jc w:val="center"/>
              <w:rPr>
                <w:rFonts w:ascii="宋体" w:hAnsi="宋体"/>
                <w:b/>
                <w:szCs w:val="21"/>
              </w:rPr>
            </w:pPr>
            <w:r>
              <w:rPr>
                <w:rFonts w:ascii="宋体" w:hAnsi="宋体" w:hint="eastAsia"/>
                <w:b/>
                <w:szCs w:val="21"/>
              </w:rPr>
              <w:t>占基金资产净值比例（%）</w:t>
            </w:r>
          </w:p>
        </w:tc>
      </w:tr>
      <w:tr w:rsidTr="00050A1C">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ascii="宋体" w:hAnsi="宋体" w:cs="宋体" w:hint="eastAsia"/>
                <w:kern w:val="0"/>
                <w:szCs w:val="21"/>
              </w:rPr>
              <w:t>农、林、牧、渔业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ascii="宋体" w:hAnsi="宋体" w:cs="宋体" w:hint="eastAsia"/>
                <w:kern w:val="0"/>
                <w:szCs w:val="21"/>
              </w:rPr>
              <w:t>采矿业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ascii="宋体" w:hAnsi="宋体" w:cs="宋体" w:hint="eastAsia"/>
                <w:kern w:val="0"/>
                <w:szCs w:val="21"/>
              </w:rPr>
              <w:t>制造业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D</w:t>
            </w:r>
          </w:p>
        </w:tc>
        <w:tc>
          <w:tcPr>
            <w:tcW w:w="2069" w:type="pct"/>
            <w:vAlign w:val="center"/>
          </w:tcPr>
          <w:p>
            <w:pPr>
              <w:rPr>
                <w:rFonts w:ascii="宋体" w:hAnsi="宋体"/>
                <w:szCs w:val="21"/>
              </w:rPr>
            </w:pPr>
            <w:r>
              <w:rPr>
                <w:rFonts w:ascii="宋体" w:hAnsi="宋体" w:cs="宋体" w:hint="eastAsia"/>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E</w:t>
            </w:r>
          </w:p>
        </w:tc>
        <w:tc>
          <w:tcPr>
            <w:tcW w:w="2069" w:type="pct"/>
            <w:vAlign w:val="center"/>
          </w:tcPr>
          <w:p>
            <w:pPr>
              <w:rPr>
                <w:rFonts w:ascii="宋体" w:hAnsi="宋体"/>
                <w:szCs w:val="21"/>
              </w:rPr>
            </w:pPr>
            <w:r>
              <w:rPr>
                <w:rFonts w:ascii="宋体" w:hAnsi="宋体" w:cs="宋体" w:hint="eastAsia"/>
                <w:kern w:val="0"/>
                <w:szCs w:val="21"/>
              </w:rPr>
              <w:t>建筑业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F</w:t>
            </w:r>
          </w:p>
        </w:tc>
        <w:tc>
          <w:tcPr>
            <w:tcW w:w="2069" w:type="pct"/>
            <w:vAlign w:val="center"/>
          </w:tcPr>
          <w:p>
            <w:pPr>
              <w:rPr>
                <w:rFonts w:ascii="宋体" w:hAnsi="宋体"/>
                <w:szCs w:val="21"/>
              </w:rPr>
            </w:pPr>
            <w:r>
              <w:rPr>
                <w:rFonts w:ascii="宋体" w:hAnsi="宋体" w:cs="宋体" w:hint="eastAsia"/>
                <w:kern w:val="0"/>
                <w:szCs w:val="21"/>
              </w:rPr>
              <w:t>批发和零售业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G</w:t>
            </w:r>
          </w:p>
        </w:tc>
        <w:tc>
          <w:tcPr>
            <w:tcW w:w="2069" w:type="pct"/>
            <w:vAlign w:val="center"/>
          </w:tcPr>
          <w:p>
            <w:pPr>
              <w:rPr>
                <w:rFonts w:ascii="宋体" w:hAnsi="宋体"/>
                <w:szCs w:val="21"/>
              </w:rPr>
            </w:pPr>
            <w:r>
              <w:rPr>
                <w:rFonts w:ascii="宋体" w:hAnsi="宋体" w:cs="宋体" w:hint="eastAsia"/>
                <w:kern w:val="0"/>
                <w:szCs w:val="21"/>
              </w:rPr>
              <w:t>交通运输、仓储和邮政业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H</w:t>
            </w:r>
          </w:p>
        </w:tc>
        <w:tc>
          <w:tcPr>
            <w:tcW w:w="2069" w:type="pct"/>
            <w:vAlign w:val="center"/>
          </w:tcPr>
          <w:p>
            <w:pPr>
              <w:rPr>
                <w:rFonts w:ascii="宋体" w:hAnsi="宋体" w:cs="宋体"/>
                <w:kern w:val="0"/>
                <w:szCs w:val="21"/>
              </w:rPr>
            </w:pPr>
            <w:r>
              <w:rPr>
                <w:rFonts w:ascii="宋体" w:hAnsi="宋体" w:cs="宋体" w:hint="eastAsia"/>
                <w:kern w:val="0"/>
                <w:szCs w:val="21"/>
              </w:rPr>
              <w:t>住宿和餐饮业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I</w:t>
            </w:r>
          </w:p>
        </w:tc>
        <w:tc>
          <w:tcPr>
            <w:tcW w:w="2069" w:type="pct"/>
            <w:vAlign w:val="center"/>
          </w:tcPr>
          <w:p>
            <w:pPr>
              <w:rPr>
                <w:rFonts w:ascii="宋体" w:hAnsi="宋体" w:cs="宋体"/>
                <w:kern w:val="0"/>
                <w:szCs w:val="21"/>
              </w:rPr>
            </w:pPr>
            <w:r>
              <w:rPr>
                <w:rFonts w:ascii="宋体" w:hAnsi="宋体" w:cs="宋体" w:hint="eastAsia"/>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J</w:t>
            </w:r>
          </w:p>
        </w:tc>
        <w:tc>
          <w:tcPr>
            <w:tcW w:w="2069" w:type="pct"/>
            <w:vAlign w:val="center"/>
          </w:tcPr>
          <w:p>
            <w:pPr>
              <w:rPr>
                <w:rFonts w:ascii="宋体" w:hAnsi="宋体" w:cs="宋体"/>
                <w:kern w:val="0"/>
                <w:szCs w:val="21"/>
              </w:rPr>
            </w:pPr>
            <w:r>
              <w:rPr>
                <w:rFonts w:ascii="宋体" w:hAnsi="宋体" w:cs="宋体" w:hint="eastAsia"/>
                <w:kern w:val="0"/>
                <w:szCs w:val="21"/>
              </w:rPr>
              <w:t>金融业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K</w:t>
            </w:r>
          </w:p>
        </w:tc>
        <w:tc>
          <w:tcPr>
            <w:tcW w:w="2069" w:type="pct"/>
            <w:vAlign w:val="center"/>
          </w:tcPr>
          <w:p>
            <w:pPr>
              <w:rPr>
                <w:rFonts w:ascii="宋体" w:hAnsi="宋体" w:cs="宋体"/>
                <w:kern w:val="0"/>
                <w:szCs w:val="21"/>
              </w:rPr>
            </w:pPr>
            <w:r>
              <w:rPr>
                <w:rFonts w:ascii="宋体" w:hAnsi="宋体" w:cs="宋体" w:hint="eastAsia"/>
                <w:kern w:val="0"/>
                <w:szCs w:val="21"/>
              </w:rPr>
              <w:t>房地产业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ascii="宋体" w:hAnsi="宋体" w:cs="宋体" w:hint="eastAsia"/>
                <w:kern w:val="0"/>
                <w:szCs w:val="21"/>
              </w:rPr>
              <w:t>租赁和商务服务业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M</w:t>
            </w:r>
          </w:p>
        </w:tc>
        <w:tc>
          <w:tcPr>
            <w:tcW w:w="2069" w:type="pct"/>
            <w:vAlign w:val="center"/>
          </w:tcPr>
          <w:p>
            <w:pPr>
              <w:rPr>
                <w:rFonts w:ascii="宋体" w:hAnsi="宋体" w:cs="宋体"/>
                <w:kern w:val="0"/>
                <w:szCs w:val="21"/>
              </w:rPr>
            </w:pPr>
            <w:r>
              <w:rPr>
                <w:rFonts w:ascii="宋体" w:hAnsi="宋体" w:cs="宋体" w:hint="eastAsia"/>
                <w:kern w:val="0"/>
                <w:szCs w:val="21"/>
              </w:rPr>
              <w:t>科学研究和技术服务业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N</w:t>
            </w:r>
          </w:p>
        </w:tc>
        <w:tc>
          <w:tcPr>
            <w:tcW w:w="2069" w:type="pct"/>
            <w:vAlign w:val="center"/>
          </w:tcPr>
          <w:p>
            <w:pPr>
              <w:rPr>
                <w:rFonts w:ascii="宋体" w:hAnsi="宋体" w:cs="宋体"/>
                <w:kern w:val="0"/>
                <w:szCs w:val="21"/>
              </w:rPr>
            </w:pPr>
            <w:r>
              <w:rPr>
                <w:rFonts w:ascii="宋体" w:hAnsi="宋体" w:cs="宋体" w:hint="eastAsia"/>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O</w:t>
            </w:r>
          </w:p>
        </w:tc>
        <w:tc>
          <w:tcPr>
            <w:tcW w:w="2069" w:type="pct"/>
            <w:vAlign w:val="center"/>
          </w:tcPr>
          <w:p>
            <w:pPr>
              <w:rPr>
                <w:rFonts w:ascii="宋体" w:hAnsi="宋体" w:cs="宋体"/>
                <w:kern w:val="0"/>
                <w:szCs w:val="21"/>
              </w:rPr>
            </w:pPr>
            <w:r>
              <w:rPr>
                <w:rFonts w:ascii="宋体" w:hAnsi="宋体" w:cs="宋体" w:hint="eastAsia"/>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lastRenderedPageBreak/>
              <w:t>P</w:t>
            </w:r>
          </w:p>
        </w:tc>
        <w:tc>
          <w:tcPr>
            <w:tcW w:w="2069" w:type="pct"/>
            <w:vAlign w:val="center"/>
          </w:tcPr>
          <w:p>
            <w:pPr>
              <w:rPr>
                <w:rFonts w:ascii="宋体" w:hAnsi="宋体" w:cs="宋体"/>
                <w:kern w:val="0"/>
                <w:szCs w:val="21"/>
              </w:rPr>
            </w:pPr>
            <w:r>
              <w:rPr>
                <w:rFonts w:ascii="宋体" w:hAnsi="宋体" w:cs="宋体" w:hint="eastAsia"/>
                <w:kern w:val="0"/>
                <w:szCs w:val="21"/>
              </w:rPr>
              <w:t>教育</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Q</w:t>
            </w:r>
          </w:p>
        </w:tc>
        <w:tc>
          <w:tcPr>
            <w:tcW w:w="2069" w:type="pct"/>
            <w:vAlign w:val="center"/>
          </w:tcPr>
          <w:p>
            <w:pPr>
              <w:rPr>
                <w:rFonts w:ascii="宋体" w:hAnsi="宋体" w:cs="宋体"/>
                <w:kern w:val="0"/>
                <w:szCs w:val="21"/>
              </w:rPr>
            </w:pPr>
            <w:r>
              <w:rPr>
                <w:rFonts w:ascii="宋体" w:hAnsi="宋体" w:cs="宋体" w:hint="eastAsia"/>
                <w:kern w:val="0"/>
                <w:szCs w:val="21"/>
              </w:rPr>
              <w:t>卫生和社会工作</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R</w:t>
            </w:r>
          </w:p>
        </w:tc>
        <w:tc>
          <w:tcPr>
            <w:tcW w:w="2069" w:type="pct"/>
            <w:vAlign w:val="center"/>
          </w:tcPr>
          <w:p>
            <w:pPr>
              <w:rPr>
                <w:rFonts w:ascii="宋体" w:hAnsi="宋体" w:cs="宋体"/>
                <w:kern w:val="0"/>
                <w:szCs w:val="21"/>
              </w:rPr>
            </w:pPr>
            <w:r>
              <w:rPr>
                <w:rFonts w:ascii="宋体" w:hAnsi="宋体" w:cs="宋体" w:hint="eastAsia"/>
                <w:kern w:val="0"/>
                <w:szCs w:val="21"/>
              </w:rPr>
              <w:t>文化、体育和娱乐业</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r>
              <w:rPr>
                <w:rFonts w:ascii="宋体" w:hAnsi="宋体" w:hint="eastAsia"/>
                <w:szCs w:val="21"/>
              </w:rPr>
              <w:t>S</w:t>
            </w:r>
          </w:p>
        </w:tc>
        <w:tc>
          <w:tcPr>
            <w:tcW w:w="2069" w:type="pct"/>
            <w:vAlign w:val="center"/>
          </w:tcPr>
          <w:p>
            <w:pPr>
              <w:rPr>
                <w:rFonts w:ascii="宋体" w:hAnsi="宋体" w:cs="宋体"/>
                <w:kern w:val="0"/>
                <w:szCs w:val="21"/>
              </w:rPr>
            </w:pPr>
            <w:r>
              <w:rPr>
                <w:rFonts w:ascii="宋体" w:hAnsi="宋体" w:cs="宋体" w:hint="eastAsia"/>
                <w:kern w:val="0"/>
                <w:szCs w:val="21"/>
              </w:rPr>
              <w:t>综合</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r w:rsidTr="00050A1C">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ascii="宋体" w:hAnsi="宋体" w:cs="宋体" w:hint="eastAsia"/>
                <w:b/>
                <w:kern w:val="0"/>
                <w:szCs w:val="21"/>
              </w:rPr>
              <w:t>合计</w:t>
            </w:r>
          </w:p>
        </w:tc>
        <w:tc>
          <w:tcPr>
            <w:tcW w:w="1280" w:type="pct"/>
            <w:vAlign w:val="center"/>
          </w:tcPr>
          <w:p>
            <w:pPr>
              <w:jc w:val="right"/>
              <w:rPr>
                <w:rFonts w:ascii="宋体" w:hAnsi="宋体"/>
                <w:szCs w:val="21"/>
              </w:rPr>
            </w:pPr>
            <w:r>
              <w:rPr>
                <w:rFonts w:ascii="宋体" w:hAnsi="宋体"/>
                <w:szCs w:val="21"/>
              </w:rPr>
              <w:t xml:space="preserve">0</w:t>
            </w:r>
          </w:p>
        </w:tc>
        <w:tc>
          <w:tcPr>
            <w:tcW w:w="1266" w:type="pct"/>
            <w:vAlign w:val="center"/>
          </w:tcPr>
          <w:p>
            <w:pPr>
              <w:jc w:val="right"/>
              <w:rPr>
                <w:rFonts w:ascii="宋体" w:hAnsi="宋体"/>
                <w:szCs w:val="21"/>
              </w:rPr>
            </w:pPr>
            <w:r>
              <w:rPr>
                <w:rFonts w:ascii="宋体" w:hAnsi="宋体"/>
                <w:szCs w:val="21"/>
              </w:rPr>
              <w:t xml:space="preserve">0</w:t>
            </w:r>
          </w:p>
        </w:tc>
      </w:tr>
    </w:tbl>
    <!--PH-->
    <w:p>
      <w:pPr>
        <w:rPr>
          <w:rFonts w:ascii="宋体" w:hAnsi="宋体"/>
          <w:szCs w:val="21"/>
        </w:rPr>
      </w:pPr>
    </w:p>
    <!--_SEC_b8fd8148af7d47da8f153315091db4a7:END-->
    <!--_SEC_8c9e8b0e580b4e4fa145699aef9e7354:START-->
    <w:p emptyAbove="1">
      <w:pPr gbicc:listString="7.2.2" gbicc:numText="7.2.%1" gbicc:numFmt="D" gbicc:numVal="2" gbicc:numId="16">
        <w:pStyle w:val="a7"/>
        <w:numPr>
          <w:ilvl w:val="0"/>
          <w:numId w:val="16"/>
        </w:numPr>
        <w:ind w:firstLineChars="0"/>
        <w:outlineLvl w:val="2"/>
        <w:rPr>
          <w:rFonts w:ascii="宋体" w:hAnsi="宋体"/>
          <w:szCs w:val="21"/>
        </w:rPr>
      </w:pPr>
      <w:r>
        <w:rPr>
          <w:rFonts w:ascii="宋体" w:hAnsi="宋体" w:hint="eastAsia"/>
          <w:szCs w:val="21"/>
        </w:rPr>
        <w:t>报告期末按行业分类的港股通投资股票投资组合</w:t>
      </w:r>
      <w:r>
        <w:rPr>
          <w:rFonts w:ascii="宋体" w:hAnsi="宋体" w:hint="eastAsia"/>
          <w:szCs w:val="21"/>
        </w:rPr>
        <w:t>（如有）</w:t>
      </w:r>
    </w:p>
    <w:tbl>
      <w:tblPr>
        <w:tblStyle w:val="a5"/>
        <w:tblW w:w="5000" w:type="pct"/>
        <w:tblLook w:val="04A0" w:firstRow="1" w:lastRow="0" w:firstColumn="1" w:lastColumn="0" w:noHBand="0" w:noVBand="1"/>
      </w:tblPr>
      <w:tblGrid>
        <w:gridCol w:w="2840"/>
        <w:gridCol w:w="2841"/>
        <w:gridCol w:w="2841"/>
      </w:tblGrid>
      <w:tr w:rsidTr="000B408F">
        <w:tc>
          <w:tcPr>
            <w:tcW w:w="1666" w:type="pct"/>
          </w:tcPr>
          <w:p>
            <w:pPr>
              <w:jc w:val="center"/>
              <w:rPr>
                <w:rFonts w:ascii="宋体" w:hAnsi="宋体"/>
              </w:rPr>
            </w:pPr>
            <w:r>
              <w:rPr>
                <w:rFonts w:ascii="宋体" w:hAnsi="宋体" w:hint="eastAsia"/>
              </w:rPr>
              <w:t>行业类别</w:t>
            </w:r>
          </w:p>
        </w:tc>
        <w:tc>
          <w:tcPr>
            <w:tcW w:w="1667" w:type="pct"/>
          </w:tcPr>
          <w:p>
            <w:pPr>
              <w:jc w:val="center"/>
              <w:rPr>
                <w:rFonts w:ascii="宋体" w:hAnsi="宋体"/>
              </w:rPr>
            </w:pPr>
            <w:r>
              <w:rPr>
                <w:rFonts w:ascii="宋体" w:hAnsi="宋体" w:hint="eastAsia"/>
              </w:rPr>
              <w:t>公允价值（人民币）</w:t>
            </w:r>
          </w:p>
        </w:tc>
        <w:tc>
          <w:tcPr>
            <w:tcW w:w="1667" w:type="pct"/>
          </w:tcPr>
          <w:p>
            <w:pPr>
              <w:jc w:val="center"/>
              <w:rPr>
                <w:rFonts w:ascii="宋体" w:hAnsi="宋体"/>
              </w:rPr>
            </w:pPr>
            <w:r>
              <w:rPr>
                <w:rFonts w:ascii="宋体" w:hAnsi="宋体" w:hint="eastAsia"/>
              </w:rPr>
              <w:t>占基金资产净值比例（%）</w:t>
            </w:r>
          </w:p>
        </w:tc>
      </w:tr>
      <w:tr w:rsidTr="000B408F">
        <w:trPr>
          <w:trHeight w:val="130"/>
        </w:trPr>
        <w:tc>
          <w:tcPr>
            <w:tcW w:w="1666" w:type="pct"/>
          </w:tcPr>
          <w:p>
            <w:pPr>
              <w:rPr>
                <w:rFonts w:ascii="宋体" w:hAnsi="宋体"/>
              </w:rPr>
            </w:pPr>
            <w:r>
              <w:rPr>
                <w:rFonts w:ascii="宋体" w:hAnsi="宋体"/>
              </w:rPr>
              <w:t xml:space="preserve">港股通</w:t>
            </w:r>
          </w:p>
        </w:tc>
        <w:tc>
          <w:tcPr>
            <w:tcW w:w="1667" w:type="pct"/>
          </w:tcPr>
          <w:p>
            <w:pPr>
              <w:jc w:val="right"/>
              <w:rPr>
                <w:rFonts w:ascii="宋体" w:hAnsi="宋体"/>
              </w:rPr>
            </w:pPr>
            <w:r>
              <w:rPr>
                <w:rFonts w:ascii="宋体" w:hAnsi="宋体"/>
              </w:rPr>
              <w:t xml:space="preserve">0</w:t>
            </w:r>
          </w:p>
        </w:tc>
        <w:tc>
          <w:tcPr>
            <w:tcW w:w="1667" w:type="pct"/>
          </w:tcPr>
          <w:p>
            <w:pPr>
              <w:jc w:val="right"/>
              <w:rPr>
                <w:rFonts w:ascii="宋体" w:hAnsi="宋体"/>
              </w:rPr>
            </w:pPr>
            <w:r>
              <w:rPr>
                <w:rFonts w:ascii="宋体" w:hAnsi="宋体"/>
              </w:rPr>
              <w:t xml:space="preserve">0</w:t>
            </w:r>
          </w:p>
        </w:tc>
      </w:tr>
      <w:tr w:rsidTr="000B408F">
        <w:trPr>
          <w:trHeight w:val="130"/>
        </w:trPr>
        <w:tc>
          <w:tcPr>
            <w:tcW w:w="1666" w:type="pct"/>
          </w:tcPr>
          <w:p>
            <w:pPr>
              <w:rPr>
                <w:rFonts w:ascii="宋体" w:hAnsi="宋体"/>
              </w:rPr>
            </w:pPr>
            <w:r>
              <w:rPr>
                <w:rFonts w:ascii="宋体" w:hAnsi="宋体"/>
              </w:rPr>
              <w:t xml:space="preserve">-</w:t>
            </w:r>
          </w:p>
        </w:tc>
        <w:tc>
          <w:tcPr>
            <w:tcW w:w="1667" w:type="pct"/>
          </w:tcPr>
          <w:p>
            <w:pPr>
              <w:jc w:val="right"/>
              <w:rPr>
                <w:rFonts w:ascii="宋体" w:hAnsi="宋体"/>
              </w:rPr>
            </w:pPr>
            <w:r>
              <w:rPr>
                <w:rFonts w:ascii="宋体" w:hAnsi="宋体"/>
              </w:rPr>
              <w:t xml:space="preserve">-</w:t>
            </w:r>
          </w:p>
        </w:tc>
        <w:tc>
          <w:tcPr>
            <w:tcW w:w="1667" w:type="pct"/>
          </w:tcPr>
          <w:p>
            <w:pPr>
              <w:jc w:val="right"/>
              <w:rPr>
                <w:rFonts w:ascii="宋体" w:hAnsi="宋体"/>
              </w:rPr>
            </w:pPr>
            <w:r>
              <w:rPr>
                <w:rFonts w:ascii="宋体" w:hAnsi="宋体"/>
              </w:rPr>
              <w:t xml:space="preserve">-</w:t>
            </w:r>
          </w:p>
        </w:tc>
      </w:tr>
      <w:tr w:rsidTr="000B408F">
        <w:trPr>
          <w:trHeight w:val="105"/>
        </w:trPr>
        <w:tc>
          <w:tcPr>
            <w:tcW w:w="1666" w:type="pct"/>
          </w:tcPr>
          <w:p>
            <w:pPr>
              <w:jc w:val="left"/>
              <w:rPr>
                <w:rFonts w:ascii="宋体" w:hAnsi="宋体"/>
              </w:rPr>
            </w:pPr>
            <w:r>
              <w:rPr>
                <w:rFonts w:ascii="宋体" w:hAnsi="宋体" w:hint="eastAsia"/>
              </w:rPr>
              <w:t>合计</w:t>
            </w:r>
          </w:p>
        </w:tc>
        <w:tc>
          <w:tcPr>
            <w:tcW w:w="1667" w:type="pct"/>
          </w:tcPr>
          <w:p>
            <w:pPr>
              <w:jc w:val="right"/>
              <w:rPr>
                <w:rFonts w:ascii="宋体" w:hAnsi="宋体"/>
              </w:rPr>
            </w:pPr>
            <w:r>
              <w:rPr>
                <w:rFonts w:ascii="宋体" w:hAnsi="宋体"/>
              </w:rPr>
              <w:t xml:space="preserve">0</w:t>
            </w:r>
          </w:p>
        </w:tc>
        <w:tc>
          <w:tcPr>
            <w:tcW w:w="1667" w:type="pct"/>
          </w:tcPr>
          <w:p>
            <w:pPr>
              <w:jc w:val="right"/>
              <w:rPr>
                <w:rFonts w:ascii="宋体" w:hAnsi="宋体"/>
              </w:rPr>
            </w:pPr>
            <w:r>
              <w:rPr>
                <w:rFonts w:ascii="宋体" w:hAnsi="宋体"/>
              </w:rPr>
              <w:t xml:space="preserve">0</w:t>
            </w:r>
          </w:p>
        </w:tc>
      </w:tr>
    </w:tbl>
    <!--PH-->
    <!--_SEC_8c9e8b0e580b4e4fa145699aef9e7354:END-->
    <w:p>
      <w:pPr>
        <w:rPr>
          <w:rFonts w:ascii="宋体" w:hAnsi="宋体"/>
          <w:szCs w:val="21"/>
        </w:rPr>
      </w:pPr>
    </w:p>
    <w:p emptyAbove="1">
      <w:pPr gbicc:listString="8、" gbicc:numText="%1、" gbicc:numFmt="D" gbicc:numVal="8" gbicc:numId="11">
        <w:pStyle w:val="1"/>
        <w:numPr>
          <w:ilvl w:val="0"/>
          <w:numId w:val="11"/>
        </w:numPr>
        <w:rPr>
          <w:rFonts w:ascii="宋体" w:hAnsi="宋体"/>
          <w:szCs w:val="21"/>
        </w:rPr>
      </w:pPr>
      <w:r>
        <w:rPr>
          <w:rFonts w:ascii="宋体" w:hAnsi="宋体" w:hint="eastAsia"/>
          <w:szCs w:val="21"/>
        </w:rPr>
        <w:t>信息披露报告</w:t>
      </w:r>
    </w:p>
    <!--_SEC_83c1b319323744b68cc57765b6cd92fe:START-->
    <w:p>
      <w:pPr>
        <w:spacing w:line="360" w:lineRule="auto"/>
      </w:pPr>
      <w:r>
        <w:rPr>
          <w:rFonts w:hint="eastAsia"/>
        </w:rPr>
        <w:t>此处请上传管理人向投资者披露的信息披露报告</w:t>
      </w:r>
      <w:r>
        <w:rPr>
          <w:rFonts w:hint="eastAsia"/>
        </w:rPr>
        <w:t>pdf</w:t>
      </w:r>
      <w:r>
        <w:rPr>
          <w:rFonts w:hint="eastAsia"/>
        </w:rPr>
        <w:t>文件，需加盖管理人公章。</w:t>
      </w:r>
    </w:p>
    <w:p>
      <w:r>
        <w:rPr>
          <w:rFonts w:hint="eastAsia"/>
        </w:rPr>
        <w:t>请点击工具栏上“附件列表”按钮上传附件。</w:t>
      </w:r>
    </w:p>
    <!--_SEC_83c1b319323744b68cc57765b6cd92fe:END-->
    <w:p/>
    <!--_SEC_ef80c65d3a194dc5b3d966615c76b7c0:START-->
    <w:p emptyAbove="1">
      <w:r>
        <w:rPr>
          <w:rFonts w:hint="eastAsia"/>
        </w:rPr>
        <w:t>信息</w:t>
      </w:r>
      <w:r>
        <w:t>披露报告是否经托管机构</w:t>
      </w:r>
      <w:r>
        <w:rPr>
          <w:rFonts w:hint="eastAsia"/>
        </w:rPr>
        <w:t>复核</w:t>
      </w:r>
      <w:r>
        <w:rPr>
          <w:rFonts w:hint="eastAsia"/>
        </w:rPr>
        <w:t>：</w:t>
      </w:r>
      <w:r>
        <w:rPr>
          <w:rFonts w:hint="eastAsia"/>
        </w:rPr>
        <w:t xml:space="preserve">是</w:t>
      </w:r>
    </w:p>
    <!--_SEC_ef80c65d3a194dc5b3d966615c76b7c0:END-->
    <w:p/>
    <w:sectPr w:rsidSect="003F3A98">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5CF" w:rsidRDefault="000E35CF" w:rsidP="008E4F6C">
      <w:r>
        <w:separator/>
      </w:r>
    </w:p>
  </w:endnote>
  <w:endnote w:type="continuationSeparator" w:id="0">
    <w:p w:rsidR="000E35CF" w:rsidRDefault="000E35CF" w:rsidP="008E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67" w:rsidRDefault="00F57D67">
    <w:pPr>
      <w:pStyle w:val="a4"/>
      <w:jc w:val="center"/>
    </w:pPr>
    <w:r>
      <w:fldChar w:fldCharType="begin"/>
    </w:r>
    <w:r>
      <w:instrText>PAGE   \* MERGEFORMAT</w:instrText>
    </w:r>
    <w:r>
      <w:fldChar w:fldCharType="separate"/>
    </w:r>
    <w:r w:rsidR="00F46B5E" w:rsidRPr="00F46B5E">
      <w:rPr>
        <w:noProof/>
        <w:lang w:val="zh-CN"/>
      </w:rPr>
      <w:t>1</w:t>
    </w:r>
    <w:r>
      <w:fldChar w:fldCharType="end"/>
    </w:r>
  </w:p>
  <w:p w:rsidR="00F57D67" w:rsidRDefault="00F57D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5CF" w:rsidRDefault="000E35CF" w:rsidP="008E4F6C">
      <w:r>
        <w:separator/>
      </w:r>
    </w:p>
  </w:footnote>
  <w:footnote w:type="continuationSeparator" w:id="0">
    <w:p w:rsidR="000E35CF" w:rsidRDefault="000E35CF" w:rsidP="008E4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A54"/>
    <w:multiLevelType w:val="multilevel"/>
    <w:tmpl w:val="495EECA6"/>
    <w:lvl w:ilvl="0">
      <w:start w:val="1"/>
      <w:numFmt w:val="decimal"/>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F268C9"/>
    <w:multiLevelType w:val="hybridMultilevel"/>
    <w:tmpl w:val="8A42AFF4"/>
    <w:lvl w:ilvl="0" w:tplc="B820153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F90498"/>
    <w:multiLevelType w:val="multilevel"/>
    <w:tmpl w:val="F36C006C"/>
    <w:lvl w:ilvl="0">
      <w:start w:val="1"/>
      <w:numFmt w:val="decimal"/>
      <w:lvlText w:val="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51114A2"/>
    <w:multiLevelType w:val="hybridMultilevel"/>
    <w:tmpl w:val="0C800524"/>
    <w:lvl w:ilvl="0" w:tplc="122A4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274279"/>
    <w:multiLevelType w:val="hybridMultilevel"/>
    <w:tmpl w:val="DC58A902"/>
    <w:lvl w:ilvl="0" w:tplc="9910A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CF040F"/>
    <w:multiLevelType w:val="multilevel"/>
    <w:tmpl w:val="91DE6762"/>
    <w:lvl w:ilvl="0">
      <w:start w:val="1"/>
      <w:numFmt w:val="decimal"/>
      <w:lvlText w:val="7.%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6018D7"/>
    <w:multiLevelType w:val="hybridMultilevel"/>
    <w:tmpl w:val="ADFE564E"/>
    <w:lvl w:ilvl="0" w:tplc="F5F2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285D2A"/>
    <w:multiLevelType w:val="hybridMultilevel"/>
    <w:tmpl w:val="971457D0"/>
    <w:lvl w:ilvl="0" w:tplc="208C26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656387F"/>
    <w:multiLevelType w:val="multilevel"/>
    <w:tmpl w:val="FC4CAEA0"/>
    <w:lvl w:ilvl="0">
      <w:start w:val="1"/>
      <w:numFmt w:val="decimal"/>
      <w:lvlText w:val="5.%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4982E26"/>
    <w:multiLevelType w:val="multilevel"/>
    <w:tmpl w:val="63AC3B62"/>
    <w:lvl w:ilvl="0">
      <w:start w:val="1"/>
      <w:numFmt w:val="decimal"/>
      <w:lvlText w:val="7.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5742ADB"/>
    <w:multiLevelType w:val="multilevel"/>
    <w:tmpl w:val="07B023C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91125C6"/>
    <w:multiLevelType w:val="multilevel"/>
    <w:tmpl w:val="6982414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3C5533B"/>
    <w:multiLevelType w:val="hybridMultilevel"/>
    <w:tmpl w:val="4B508980"/>
    <w:lvl w:ilvl="0" w:tplc="54A4815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D7B4B01"/>
    <w:multiLevelType w:val="hybridMultilevel"/>
    <w:tmpl w:val="6A2A32D6"/>
    <w:lvl w:ilvl="0" w:tplc="B47A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0D266D8"/>
    <w:multiLevelType w:val="hybridMultilevel"/>
    <w:tmpl w:val="2BDC0760"/>
    <w:lvl w:ilvl="0" w:tplc="2AA2F8C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4F399A"/>
    <w:multiLevelType w:val="multilevel"/>
    <w:tmpl w:val="1938E4BE"/>
    <w:lvl w:ilvl="0">
      <w:start w:val="1"/>
      <w:numFmt w:val="decimal"/>
      <w:lvlText w:val="6.%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4"/>
  </w:num>
  <w:num w:numId="2">
    <w:abstractNumId w:val="6"/>
  </w:num>
  <w:num w:numId="3">
    <w:abstractNumId w:val="3"/>
  </w:num>
  <w:num w:numId="4">
    <w:abstractNumId w:val="1"/>
  </w:num>
  <w:num w:numId="5">
    <w:abstractNumId w:val="12"/>
  </w:num>
  <w:num w:numId="6">
    <w:abstractNumId w:val="13"/>
  </w:num>
  <w:num w:numId="7">
    <w:abstractNumId w:val="4"/>
  </w:num>
  <w:num w:numId="8">
    <w:abstractNumId w:val="7"/>
  </w:num>
  <w:num w:numId="9">
    <w:abstractNumId w:val="11"/>
  </w:num>
  <w:num w:numId="10">
    <w:abstractNumId w:val="0"/>
  </w:num>
  <w:num w:numId="11">
    <w:abstractNumId w:val="10"/>
  </w:num>
  <w:num w:numId="12">
    <w:abstractNumId w:val="2"/>
  </w:num>
  <w:num w:numId="13">
    <w:abstractNumId w:val="8"/>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1269E"/>
    <w:rsid w:val="00015D3E"/>
    <w:rsid w:val="00020520"/>
    <w:rsid w:val="00021961"/>
    <w:rsid w:val="00036309"/>
    <w:rsid w:val="00037D33"/>
    <w:rsid w:val="00040E9A"/>
    <w:rsid w:val="00041B2D"/>
    <w:rsid w:val="00046E81"/>
    <w:rsid w:val="00050A1C"/>
    <w:rsid w:val="000537F9"/>
    <w:rsid w:val="00053EA9"/>
    <w:rsid w:val="00062C59"/>
    <w:rsid w:val="00067262"/>
    <w:rsid w:val="000705DC"/>
    <w:rsid w:val="000717BB"/>
    <w:rsid w:val="00077EA5"/>
    <w:rsid w:val="000829B3"/>
    <w:rsid w:val="0008323D"/>
    <w:rsid w:val="000842B6"/>
    <w:rsid w:val="00086BF9"/>
    <w:rsid w:val="00091276"/>
    <w:rsid w:val="00093EC0"/>
    <w:rsid w:val="000A1559"/>
    <w:rsid w:val="000A3D47"/>
    <w:rsid w:val="000A4859"/>
    <w:rsid w:val="000A5662"/>
    <w:rsid w:val="000B0231"/>
    <w:rsid w:val="000B1941"/>
    <w:rsid w:val="000B408F"/>
    <w:rsid w:val="000C1135"/>
    <w:rsid w:val="000C1BF6"/>
    <w:rsid w:val="000C1D3E"/>
    <w:rsid w:val="000C29F1"/>
    <w:rsid w:val="000C7FC7"/>
    <w:rsid w:val="000D1E16"/>
    <w:rsid w:val="000D3945"/>
    <w:rsid w:val="000D5F49"/>
    <w:rsid w:val="000E250B"/>
    <w:rsid w:val="000E308B"/>
    <w:rsid w:val="000E35CF"/>
    <w:rsid w:val="000E7635"/>
    <w:rsid w:val="000F0783"/>
    <w:rsid w:val="000F1729"/>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28E0"/>
    <w:rsid w:val="001508BC"/>
    <w:rsid w:val="0015186A"/>
    <w:rsid w:val="001532BE"/>
    <w:rsid w:val="001605D6"/>
    <w:rsid w:val="00160AFC"/>
    <w:rsid w:val="00161171"/>
    <w:rsid w:val="0016423D"/>
    <w:rsid w:val="00165211"/>
    <w:rsid w:val="0016735C"/>
    <w:rsid w:val="00172A27"/>
    <w:rsid w:val="001765A3"/>
    <w:rsid w:val="001877F4"/>
    <w:rsid w:val="00196884"/>
    <w:rsid w:val="001976BC"/>
    <w:rsid w:val="001A05F6"/>
    <w:rsid w:val="001A3574"/>
    <w:rsid w:val="001A6FA4"/>
    <w:rsid w:val="001A75E5"/>
    <w:rsid w:val="001A7DC5"/>
    <w:rsid w:val="001B1348"/>
    <w:rsid w:val="001B3414"/>
    <w:rsid w:val="001B6958"/>
    <w:rsid w:val="001C0514"/>
    <w:rsid w:val="001C0DBE"/>
    <w:rsid w:val="001C2432"/>
    <w:rsid w:val="001C3226"/>
    <w:rsid w:val="001C4F0D"/>
    <w:rsid w:val="001D1ED3"/>
    <w:rsid w:val="001D35D9"/>
    <w:rsid w:val="001D5927"/>
    <w:rsid w:val="001D75D8"/>
    <w:rsid w:val="001E3696"/>
    <w:rsid w:val="001E65C1"/>
    <w:rsid w:val="001F1310"/>
    <w:rsid w:val="001F5047"/>
    <w:rsid w:val="00210A0B"/>
    <w:rsid w:val="0022315A"/>
    <w:rsid w:val="00225995"/>
    <w:rsid w:val="00231F05"/>
    <w:rsid w:val="0023351E"/>
    <w:rsid w:val="00233D4E"/>
    <w:rsid w:val="0023641B"/>
    <w:rsid w:val="00237056"/>
    <w:rsid w:val="00240EC7"/>
    <w:rsid w:val="00250F3D"/>
    <w:rsid w:val="00266393"/>
    <w:rsid w:val="00266BF5"/>
    <w:rsid w:val="002670E6"/>
    <w:rsid w:val="002677F5"/>
    <w:rsid w:val="00275F25"/>
    <w:rsid w:val="002762C1"/>
    <w:rsid w:val="00283B77"/>
    <w:rsid w:val="0029143C"/>
    <w:rsid w:val="002923ED"/>
    <w:rsid w:val="00292EB0"/>
    <w:rsid w:val="00297A08"/>
    <w:rsid w:val="002A347A"/>
    <w:rsid w:val="002A3C0E"/>
    <w:rsid w:val="002A59E0"/>
    <w:rsid w:val="002A745E"/>
    <w:rsid w:val="002B0CCD"/>
    <w:rsid w:val="002B13B2"/>
    <w:rsid w:val="002B2099"/>
    <w:rsid w:val="002B29B3"/>
    <w:rsid w:val="002B7CF2"/>
    <w:rsid w:val="002C0785"/>
    <w:rsid w:val="002C2B2D"/>
    <w:rsid w:val="002C429B"/>
    <w:rsid w:val="002C4365"/>
    <w:rsid w:val="002C5C8D"/>
    <w:rsid w:val="002C7524"/>
    <w:rsid w:val="002D03C8"/>
    <w:rsid w:val="002D0406"/>
    <w:rsid w:val="002D2BE2"/>
    <w:rsid w:val="002D2F50"/>
    <w:rsid w:val="002E076A"/>
    <w:rsid w:val="002E127A"/>
    <w:rsid w:val="002F5F7E"/>
    <w:rsid w:val="0030033E"/>
    <w:rsid w:val="00300AE4"/>
    <w:rsid w:val="003013A0"/>
    <w:rsid w:val="00306265"/>
    <w:rsid w:val="0031169D"/>
    <w:rsid w:val="00312020"/>
    <w:rsid w:val="003142CB"/>
    <w:rsid w:val="003218CF"/>
    <w:rsid w:val="003222F9"/>
    <w:rsid w:val="003227EE"/>
    <w:rsid w:val="003260E6"/>
    <w:rsid w:val="00326885"/>
    <w:rsid w:val="003355F9"/>
    <w:rsid w:val="003366CC"/>
    <w:rsid w:val="00352B5A"/>
    <w:rsid w:val="00352D47"/>
    <w:rsid w:val="0035492F"/>
    <w:rsid w:val="00355C85"/>
    <w:rsid w:val="0035686C"/>
    <w:rsid w:val="00357663"/>
    <w:rsid w:val="00372A7B"/>
    <w:rsid w:val="00381502"/>
    <w:rsid w:val="003822DE"/>
    <w:rsid w:val="0038373D"/>
    <w:rsid w:val="00383E21"/>
    <w:rsid w:val="00385D31"/>
    <w:rsid w:val="00386386"/>
    <w:rsid w:val="00393FFC"/>
    <w:rsid w:val="0039552E"/>
    <w:rsid w:val="00396977"/>
    <w:rsid w:val="003A5A52"/>
    <w:rsid w:val="003B3420"/>
    <w:rsid w:val="003B3611"/>
    <w:rsid w:val="003C2B64"/>
    <w:rsid w:val="003C428A"/>
    <w:rsid w:val="003C6D46"/>
    <w:rsid w:val="003E266A"/>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3373D"/>
    <w:rsid w:val="00436016"/>
    <w:rsid w:val="0044010A"/>
    <w:rsid w:val="00440A24"/>
    <w:rsid w:val="00443F8C"/>
    <w:rsid w:val="00444CAD"/>
    <w:rsid w:val="0045585B"/>
    <w:rsid w:val="004603FD"/>
    <w:rsid w:val="00461FDF"/>
    <w:rsid w:val="004621B7"/>
    <w:rsid w:val="00467DBF"/>
    <w:rsid w:val="00470374"/>
    <w:rsid w:val="004748B0"/>
    <w:rsid w:val="00475454"/>
    <w:rsid w:val="004754C7"/>
    <w:rsid w:val="004813E8"/>
    <w:rsid w:val="00492248"/>
    <w:rsid w:val="004B1543"/>
    <w:rsid w:val="004B2E2D"/>
    <w:rsid w:val="004B3E0E"/>
    <w:rsid w:val="004B5C9E"/>
    <w:rsid w:val="004C35CB"/>
    <w:rsid w:val="004C3B83"/>
    <w:rsid w:val="004C66A7"/>
    <w:rsid w:val="004C66F1"/>
    <w:rsid w:val="004D216B"/>
    <w:rsid w:val="004D369B"/>
    <w:rsid w:val="004E07BA"/>
    <w:rsid w:val="004E3FA4"/>
    <w:rsid w:val="004F025F"/>
    <w:rsid w:val="004F061D"/>
    <w:rsid w:val="004F3C6B"/>
    <w:rsid w:val="004F64FE"/>
    <w:rsid w:val="00501645"/>
    <w:rsid w:val="00503D66"/>
    <w:rsid w:val="00504137"/>
    <w:rsid w:val="00504E94"/>
    <w:rsid w:val="005050D4"/>
    <w:rsid w:val="00510A05"/>
    <w:rsid w:val="00511293"/>
    <w:rsid w:val="00513441"/>
    <w:rsid w:val="0051417B"/>
    <w:rsid w:val="005151A0"/>
    <w:rsid w:val="00520183"/>
    <w:rsid w:val="00526E1B"/>
    <w:rsid w:val="00534395"/>
    <w:rsid w:val="0053673E"/>
    <w:rsid w:val="0055130B"/>
    <w:rsid w:val="00554154"/>
    <w:rsid w:val="00554947"/>
    <w:rsid w:val="0056009A"/>
    <w:rsid w:val="00560CC5"/>
    <w:rsid w:val="00565BAD"/>
    <w:rsid w:val="00580AAF"/>
    <w:rsid w:val="00581B47"/>
    <w:rsid w:val="00583A07"/>
    <w:rsid w:val="00592050"/>
    <w:rsid w:val="00593464"/>
    <w:rsid w:val="00593B35"/>
    <w:rsid w:val="00594A12"/>
    <w:rsid w:val="005A2836"/>
    <w:rsid w:val="005A4BA6"/>
    <w:rsid w:val="005A6B1A"/>
    <w:rsid w:val="005A716F"/>
    <w:rsid w:val="005B23CD"/>
    <w:rsid w:val="005B268D"/>
    <w:rsid w:val="005C6DD3"/>
    <w:rsid w:val="005D095E"/>
    <w:rsid w:val="005D2742"/>
    <w:rsid w:val="005D2BC7"/>
    <w:rsid w:val="005D4C98"/>
    <w:rsid w:val="005D7A5F"/>
    <w:rsid w:val="005E4015"/>
    <w:rsid w:val="005F2DBE"/>
    <w:rsid w:val="00603025"/>
    <w:rsid w:val="006054BA"/>
    <w:rsid w:val="00611E7B"/>
    <w:rsid w:val="00612A98"/>
    <w:rsid w:val="00615DB5"/>
    <w:rsid w:val="00620324"/>
    <w:rsid w:val="006206B8"/>
    <w:rsid w:val="00622C40"/>
    <w:rsid w:val="00624F15"/>
    <w:rsid w:val="00625CFF"/>
    <w:rsid w:val="00626A37"/>
    <w:rsid w:val="00626EBD"/>
    <w:rsid w:val="00630AED"/>
    <w:rsid w:val="006323EC"/>
    <w:rsid w:val="00634C95"/>
    <w:rsid w:val="006352BC"/>
    <w:rsid w:val="00643966"/>
    <w:rsid w:val="00646F26"/>
    <w:rsid w:val="00647DB1"/>
    <w:rsid w:val="006620B6"/>
    <w:rsid w:val="00665C67"/>
    <w:rsid w:val="00681B6C"/>
    <w:rsid w:val="00685E5F"/>
    <w:rsid w:val="006A1A6E"/>
    <w:rsid w:val="006A672F"/>
    <w:rsid w:val="006A6E41"/>
    <w:rsid w:val="006B1283"/>
    <w:rsid w:val="006B6D2F"/>
    <w:rsid w:val="006C022D"/>
    <w:rsid w:val="006C02A8"/>
    <w:rsid w:val="006C1263"/>
    <w:rsid w:val="006C15A7"/>
    <w:rsid w:val="006D0E43"/>
    <w:rsid w:val="006D2B90"/>
    <w:rsid w:val="006D2ED9"/>
    <w:rsid w:val="006D4DA2"/>
    <w:rsid w:val="006E6F9F"/>
    <w:rsid w:val="006F0EA8"/>
    <w:rsid w:val="006F1EEE"/>
    <w:rsid w:val="006F3194"/>
    <w:rsid w:val="00704554"/>
    <w:rsid w:val="00704755"/>
    <w:rsid w:val="00710AF7"/>
    <w:rsid w:val="007120DD"/>
    <w:rsid w:val="007157A3"/>
    <w:rsid w:val="0071676E"/>
    <w:rsid w:val="00716F13"/>
    <w:rsid w:val="007178F1"/>
    <w:rsid w:val="00717D6C"/>
    <w:rsid w:val="007263BA"/>
    <w:rsid w:val="00731247"/>
    <w:rsid w:val="0073733C"/>
    <w:rsid w:val="00740516"/>
    <w:rsid w:val="00740DC6"/>
    <w:rsid w:val="007512C4"/>
    <w:rsid w:val="00751FC3"/>
    <w:rsid w:val="00753D48"/>
    <w:rsid w:val="00754AA0"/>
    <w:rsid w:val="00755327"/>
    <w:rsid w:val="00756676"/>
    <w:rsid w:val="007578ED"/>
    <w:rsid w:val="00760DF3"/>
    <w:rsid w:val="007641AD"/>
    <w:rsid w:val="00765E27"/>
    <w:rsid w:val="0077206B"/>
    <w:rsid w:val="007729C8"/>
    <w:rsid w:val="00774C9D"/>
    <w:rsid w:val="00780473"/>
    <w:rsid w:val="007825D1"/>
    <w:rsid w:val="00782734"/>
    <w:rsid w:val="007848CE"/>
    <w:rsid w:val="0079424A"/>
    <w:rsid w:val="007948FA"/>
    <w:rsid w:val="00795914"/>
    <w:rsid w:val="007960C6"/>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70B"/>
    <w:rsid w:val="00823E07"/>
    <w:rsid w:val="00824426"/>
    <w:rsid w:val="00825451"/>
    <w:rsid w:val="008272BE"/>
    <w:rsid w:val="00831491"/>
    <w:rsid w:val="008321C0"/>
    <w:rsid w:val="00845CC9"/>
    <w:rsid w:val="008466E5"/>
    <w:rsid w:val="00851F77"/>
    <w:rsid w:val="008536F0"/>
    <w:rsid w:val="00857175"/>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13C9"/>
    <w:rsid w:val="008C20BD"/>
    <w:rsid w:val="008C5BA9"/>
    <w:rsid w:val="008C6CDC"/>
    <w:rsid w:val="008D1122"/>
    <w:rsid w:val="008D2BB2"/>
    <w:rsid w:val="008D3EBB"/>
    <w:rsid w:val="008E1BF8"/>
    <w:rsid w:val="008E4F6C"/>
    <w:rsid w:val="008E780F"/>
    <w:rsid w:val="008F045D"/>
    <w:rsid w:val="008F0F92"/>
    <w:rsid w:val="008F1EDE"/>
    <w:rsid w:val="008F39F3"/>
    <w:rsid w:val="009007DF"/>
    <w:rsid w:val="00904707"/>
    <w:rsid w:val="009047A0"/>
    <w:rsid w:val="00905D35"/>
    <w:rsid w:val="00906FCE"/>
    <w:rsid w:val="00907BAB"/>
    <w:rsid w:val="00907F84"/>
    <w:rsid w:val="009175DE"/>
    <w:rsid w:val="00917D18"/>
    <w:rsid w:val="0092565E"/>
    <w:rsid w:val="009258B3"/>
    <w:rsid w:val="00926868"/>
    <w:rsid w:val="00926885"/>
    <w:rsid w:val="00926F51"/>
    <w:rsid w:val="0093226A"/>
    <w:rsid w:val="00940C12"/>
    <w:rsid w:val="009416F7"/>
    <w:rsid w:val="0094493A"/>
    <w:rsid w:val="009453F7"/>
    <w:rsid w:val="00950584"/>
    <w:rsid w:val="00954D64"/>
    <w:rsid w:val="009572C3"/>
    <w:rsid w:val="00965098"/>
    <w:rsid w:val="00965FE8"/>
    <w:rsid w:val="009708B7"/>
    <w:rsid w:val="00971D98"/>
    <w:rsid w:val="0097383D"/>
    <w:rsid w:val="00975760"/>
    <w:rsid w:val="00976065"/>
    <w:rsid w:val="00980E37"/>
    <w:rsid w:val="009853D9"/>
    <w:rsid w:val="0098622B"/>
    <w:rsid w:val="009940D1"/>
    <w:rsid w:val="009A4851"/>
    <w:rsid w:val="009A4F31"/>
    <w:rsid w:val="009A637E"/>
    <w:rsid w:val="009A6EB9"/>
    <w:rsid w:val="009B0795"/>
    <w:rsid w:val="009B16E9"/>
    <w:rsid w:val="009B2E2C"/>
    <w:rsid w:val="009B32FC"/>
    <w:rsid w:val="009B794B"/>
    <w:rsid w:val="009C36B3"/>
    <w:rsid w:val="009D0409"/>
    <w:rsid w:val="009D3839"/>
    <w:rsid w:val="009E4E22"/>
    <w:rsid w:val="009E5A0D"/>
    <w:rsid w:val="009E67D8"/>
    <w:rsid w:val="009F4E66"/>
    <w:rsid w:val="009F5D47"/>
    <w:rsid w:val="00A0429B"/>
    <w:rsid w:val="00A06EC5"/>
    <w:rsid w:val="00A12226"/>
    <w:rsid w:val="00A1441E"/>
    <w:rsid w:val="00A15155"/>
    <w:rsid w:val="00A17653"/>
    <w:rsid w:val="00A20854"/>
    <w:rsid w:val="00A23006"/>
    <w:rsid w:val="00A23625"/>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6B7C"/>
    <w:rsid w:val="00A62FC6"/>
    <w:rsid w:val="00A70D89"/>
    <w:rsid w:val="00A71B9E"/>
    <w:rsid w:val="00A80D78"/>
    <w:rsid w:val="00A816EF"/>
    <w:rsid w:val="00A835E2"/>
    <w:rsid w:val="00A83AFB"/>
    <w:rsid w:val="00A85109"/>
    <w:rsid w:val="00A85F8C"/>
    <w:rsid w:val="00A90B78"/>
    <w:rsid w:val="00A94142"/>
    <w:rsid w:val="00A9459B"/>
    <w:rsid w:val="00A970A6"/>
    <w:rsid w:val="00AA0BA9"/>
    <w:rsid w:val="00AA32F3"/>
    <w:rsid w:val="00AB1555"/>
    <w:rsid w:val="00AC1C74"/>
    <w:rsid w:val="00AC2778"/>
    <w:rsid w:val="00AC2E3E"/>
    <w:rsid w:val="00AC3DD6"/>
    <w:rsid w:val="00AC51FA"/>
    <w:rsid w:val="00AD366E"/>
    <w:rsid w:val="00AD40DA"/>
    <w:rsid w:val="00AD42CF"/>
    <w:rsid w:val="00AD6F0E"/>
    <w:rsid w:val="00AD7B77"/>
    <w:rsid w:val="00AE0B01"/>
    <w:rsid w:val="00AE3457"/>
    <w:rsid w:val="00AE5FD5"/>
    <w:rsid w:val="00AE62C0"/>
    <w:rsid w:val="00AF4F19"/>
    <w:rsid w:val="00B03410"/>
    <w:rsid w:val="00B060D2"/>
    <w:rsid w:val="00B07CB6"/>
    <w:rsid w:val="00B07F26"/>
    <w:rsid w:val="00B101CA"/>
    <w:rsid w:val="00B1130E"/>
    <w:rsid w:val="00B11F9A"/>
    <w:rsid w:val="00B13A6F"/>
    <w:rsid w:val="00B16A5D"/>
    <w:rsid w:val="00B2051B"/>
    <w:rsid w:val="00B26ED9"/>
    <w:rsid w:val="00B2787C"/>
    <w:rsid w:val="00B34FBD"/>
    <w:rsid w:val="00B35A52"/>
    <w:rsid w:val="00B36370"/>
    <w:rsid w:val="00B36BA8"/>
    <w:rsid w:val="00B40578"/>
    <w:rsid w:val="00B437C2"/>
    <w:rsid w:val="00B44E9E"/>
    <w:rsid w:val="00B50602"/>
    <w:rsid w:val="00B50A38"/>
    <w:rsid w:val="00B54083"/>
    <w:rsid w:val="00B5737D"/>
    <w:rsid w:val="00B701D3"/>
    <w:rsid w:val="00B714FB"/>
    <w:rsid w:val="00B77AE2"/>
    <w:rsid w:val="00B82455"/>
    <w:rsid w:val="00B83DF4"/>
    <w:rsid w:val="00B83FA0"/>
    <w:rsid w:val="00B840FB"/>
    <w:rsid w:val="00B84C02"/>
    <w:rsid w:val="00B85094"/>
    <w:rsid w:val="00B91F29"/>
    <w:rsid w:val="00B944FE"/>
    <w:rsid w:val="00B95FF0"/>
    <w:rsid w:val="00BA1778"/>
    <w:rsid w:val="00BA1A6E"/>
    <w:rsid w:val="00BA672F"/>
    <w:rsid w:val="00BB44E0"/>
    <w:rsid w:val="00BB5B8C"/>
    <w:rsid w:val="00BC24E8"/>
    <w:rsid w:val="00BC7B50"/>
    <w:rsid w:val="00BE079E"/>
    <w:rsid w:val="00BE0A1E"/>
    <w:rsid w:val="00BE1229"/>
    <w:rsid w:val="00BE4086"/>
    <w:rsid w:val="00BE62B1"/>
    <w:rsid w:val="00BF1B6C"/>
    <w:rsid w:val="00BF2AEA"/>
    <w:rsid w:val="00BF4C2D"/>
    <w:rsid w:val="00BF5243"/>
    <w:rsid w:val="00C01896"/>
    <w:rsid w:val="00C031B8"/>
    <w:rsid w:val="00C032B7"/>
    <w:rsid w:val="00C06D4C"/>
    <w:rsid w:val="00C10DD2"/>
    <w:rsid w:val="00C11B4D"/>
    <w:rsid w:val="00C14D32"/>
    <w:rsid w:val="00C1591C"/>
    <w:rsid w:val="00C16C53"/>
    <w:rsid w:val="00C22ECE"/>
    <w:rsid w:val="00C23353"/>
    <w:rsid w:val="00C26F24"/>
    <w:rsid w:val="00C26F38"/>
    <w:rsid w:val="00C27973"/>
    <w:rsid w:val="00C33564"/>
    <w:rsid w:val="00C353F3"/>
    <w:rsid w:val="00C4145D"/>
    <w:rsid w:val="00C45075"/>
    <w:rsid w:val="00C454A6"/>
    <w:rsid w:val="00C47BC6"/>
    <w:rsid w:val="00C53AF9"/>
    <w:rsid w:val="00C5546F"/>
    <w:rsid w:val="00C5666D"/>
    <w:rsid w:val="00C579EC"/>
    <w:rsid w:val="00C61084"/>
    <w:rsid w:val="00C630AD"/>
    <w:rsid w:val="00C66940"/>
    <w:rsid w:val="00C71E9C"/>
    <w:rsid w:val="00C761C9"/>
    <w:rsid w:val="00C777B3"/>
    <w:rsid w:val="00C81447"/>
    <w:rsid w:val="00C853B2"/>
    <w:rsid w:val="00C91530"/>
    <w:rsid w:val="00C96292"/>
    <w:rsid w:val="00CA4C42"/>
    <w:rsid w:val="00CB0F4C"/>
    <w:rsid w:val="00CB3B65"/>
    <w:rsid w:val="00CB493F"/>
    <w:rsid w:val="00CB50E8"/>
    <w:rsid w:val="00CC66A9"/>
    <w:rsid w:val="00CD4472"/>
    <w:rsid w:val="00CD7FD4"/>
    <w:rsid w:val="00CE2AE1"/>
    <w:rsid w:val="00CE5528"/>
    <w:rsid w:val="00CE69A3"/>
    <w:rsid w:val="00CF0471"/>
    <w:rsid w:val="00CF39D2"/>
    <w:rsid w:val="00D04CAB"/>
    <w:rsid w:val="00D102BC"/>
    <w:rsid w:val="00D11933"/>
    <w:rsid w:val="00D12720"/>
    <w:rsid w:val="00D14197"/>
    <w:rsid w:val="00D15476"/>
    <w:rsid w:val="00D16B7D"/>
    <w:rsid w:val="00D16C22"/>
    <w:rsid w:val="00D175CE"/>
    <w:rsid w:val="00D221DF"/>
    <w:rsid w:val="00D225F5"/>
    <w:rsid w:val="00D2364C"/>
    <w:rsid w:val="00D23DCD"/>
    <w:rsid w:val="00D26FA4"/>
    <w:rsid w:val="00D36860"/>
    <w:rsid w:val="00D40DDF"/>
    <w:rsid w:val="00D41C29"/>
    <w:rsid w:val="00D43CFE"/>
    <w:rsid w:val="00D43E65"/>
    <w:rsid w:val="00D45BAF"/>
    <w:rsid w:val="00D46528"/>
    <w:rsid w:val="00D468E0"/>
    <w:rsid w:val="00D47F15"/>
    <w:rsid w:val="00D54709"/>
    <w:rsid w:val="00D570E0"/>
    <w:rsid w:val="00D57D14"/>
    <w:rsid w:val="00D62D18"/>
    <w:rsid w:val="00D65706"/>
    <w:rsid w:val="00D663F3"/>
    <w:rsid w:val="00D72DAF"/>
    <w:rsid w:val="00D738BA"/>
    <w:rsid w:val="00D73D33"/>
    <w:rsid w:val="00D75EC4"/>
    <w:rsid w:val="00D769F0"/>
    <w:rsid w:val="00D828FF"/>
    <w:rsid w:val="00D829E8"/>
    <w:rsid w:val="00D87D00"/>
    <w:rsid w:val="00D93CD9"/>
    <w:rsid w:val="00D94F1C"/>
    <w:rsid w:val="00D96561"/>
    <w:rsid w:val="00DB387C"/>
    <w:rsid w:val="00DB6BBF"/>
    <w:rsid w:val="00DB72B5"/>
    <w:rsid w:val="00DC1A7E"/>
    <w:rsid w:val="00DC5D69"/>
    <w:rsid w:val="00DC691C"/>
    <w:rsid w:val="00DC6DEA"/>
    <w:rsid w:val="00DC7AF4"/>
    <w:rsid w:val="00DD4846"/>
    <w:rsid w:val="00DD5B56"/>
    <w:rsid w:val="00DE06BE"/>
    <w:rsid w:val="00DE401D"/>
    <w:rsid w:val="00DE4841"/>
    <w:rsid w:val="00DE4F36"/>
    <w:rsid w:val="00DE5199"/>
    <w:rsid w:val="00DE72B1"/>
    <w:rsid w:val="00DE7FA8"/>
    <w:rsid w:val="00DF114C"/>
    <w:rsid w:val="00DF1EC5"/>
    <w:rsid w:val="00DF24AF"/>
    <w:rsid w:val="00DF31DB"/>
    <w:rsid w:val="00DF7023"/>
    <w:rsid w:val="00DF7693"/>
    <w:rsid w:val="00E03050"/>
    <w:rsid w:val="00E06F5B"/>
    <w:rsid w:val="00E11627"/>
    <w:rsid w:val="00E1399F"/>
    <w:rsid w:val="00E42990"/>
    <w:rsid w:val="00E4414E"/>
    <w:rsid w:val="00E44F62"/>
    <w:rsid w:val="00E50E1C"/>
    <w:rsid w:val="00E60AD3"/>
    <w:rsid w:val="00E61DE2"/>
    <w:rsid w:val="00E62244"/>
    <w:rsid w:val="00E71155"/>
    <w:rsid w:val="00E747FC"/>
    <w:rsid w:val="00E75286"/>
    <w:rsid w:val="00E759DD"/>
    <w:rsid w:val="00E76D17"/>
    <w:rsid w:val="00E82413"/>
    <w:rsid w:val="00E83D58"/>
    <w:rsid w:val="00E83DF7"/>
    <w:rsid w:val="00E9781D"/>
    <w:rsid w:val="00E97ECF"/>
    <w:rsid w:val="00EA15A7"/>
    <w:rsid w:val="00EB1DF7"/>
    <w:rsid w:val="00EB381B"/>
    <w:rsid w:val="00EB458F"/>
    <w:rsid w:val="00EB7B02"/>
    <w:rsid w:val="00EC0A5E"/>
    <w:rsid w:val="00EC2455"/>
    <w:rsid w:val="00ED05B6"/>
    <w:rsid w:val="00ED1907"/>
    <w:rsid w:val="00ED4F1C"/>
    <w:rsid w:val="00EE46AA"/>
    <w:rsid w:val="00EE4870"/>
    <w:rsid w:val="00EF33CC"/>
    <w:rsid w:val="00EF651C"/>
    <w:rsid w:val="00F00E78"/>
    <w:rsid w:val="00F0486F"/>
    <w:rsid w:val="00F07198"/>
    <w:rsid w:val="00F119AB"/>
    <w:rsid w:val="00F15749"/>
    <w:rsid w:val="00F45249"/>
    <w:rsid w:val="00F46B5E"/>
    <w:rsid w:val="00F539E6"/>
    <w:rsid w:val="00F556A0"/>
    <w:rsid w:val="00F56974"/>
    <w:rsid w:val="00F57D67"/>
    <w:rsid w:val="00F65833"/>
    <w:rsid w:val="00F73056"/>
    <w:rsid w:val="00F768D6"/>
    <w:rsid w:val="00F81E93"/>
    <w:rsid w:val="00F82ACA"/>
    <w:rsid w:val="00F84844"/>
    <w:rsid w:val="00F869E4"/>
    <w:rsid w:val="00F91D6E"/>
    <w:rsid w:val="00F950E1"/>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0ED8"/>
    <w:rsid w:val="00FC58BD"/>
    <w:rsid w:val="00FD1886"/>
    <w:rsid w:val="00FD72E3"/>
    <w:rsid w:val="00FE1041"/>
    <w:rsid w:val="00FE25B9"/>
    <w:rsid w:val="00FE6E69"/>
    <w:rsid w:val="00FF0B7D"/>
    <w:rsid w:val="00FF16D9"/>
    <w:rsid w:val="00FF4729"/>
    <w:rsid w:val="00FF54DB"/>
    <w:rsid w:val="17FD6593"/>
    <w:rsid w:val="26B4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9280974E-379E-4371-BB15-A2BB862D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65E"/>
    <w:pPr>
      <w:widowControl w:val="0"/>
      <w:jc w:val="both"/>
    </w:pPr>
    <w:rPr>
      <w:kern w:val="2"/>
      <w:sz w:val="21"/>
    </w:rPr>
  </w:style>
  <w:style w:type="paragraph" w:styleId="1">
    <w:name w:val="heading 1"/>
    <w:basedOn w:val="a"/>
    <w:next w:val="a"/>
    <w:link w:val="1Char"/>
    <w:uiPriority w:val="9"/>
    <w:qFormat/>
    <w:rsid w:val="00647DB1"/>
    <w:pPr>
      <w:keepNext/>
      <w:keepLines/>
      <w:spacing w:before="120" w:after="120" w:line="360" w:lineRule="auto"/>
      <w:outlineLvl w:val="0"/>
    </w:pPr>
    <w:rPr>
      <w:b/>
      <w:bCs/>
      <w:kern w:val="44"/>
      <w:szCs w:val="44"/>
    </w:rPr>
  </w:style>
  <w:style w:type="paragraph" w:styleId="6">
    <w:name w:val="heading 6"/>
    <w:basedOn w:val="a"/>
    <w:next w:val="a"/>
    <w:link w:val="6Char"/>
    <w:uiPriority w:val="9"/>
    <w:unhideWhenUsed/>
    <w:qFormat/>
    <w:rsid w:val="00BC24E8"/>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semiHidden/>
    <w:unhideWhenUsed/>
    <w:qFormat/>
    <w:rsid w:val="000B194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pPr>
      <w:tabs>
        <w:tab w:val="center" w:pos="4153"/>
        <w:tab w:val="right" w:pos="8306"/>
      </w:tabs>
      <w:snapToGrid w:val="0"/>
      <w:jc w:val="left"/>
    </w:pPr>
    <w:rPr>
      <w:sz w:val="18"/>
    </w:rPr>
  </w:style>
  <w:style w:type="table" w:styleId="a5">
    <w:name w:val="Table Grid"/>
    <w:basedOn w:val="a1"/>
    <w:uiPriority w:val="5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5"/>
    <w:uiPriority w:val="59"/>
    <w:rsid w:val="00BC24E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link w:val="6"/>
    <w:uiPriority w:val="9"/>
    <w:rsid w:val="00BC24E8"/>
    <w:rPr>
      <w:rFonts w:ascii="Cambria" w:hAnsi="Cambria"/>
      <w:b/>
      <w:bCs/>
      <w:kern w:val="2"/>
      <w:sz w:val="24"/>
      <w:szCs w:val="24"/>
    </w:rPr>
  </w:style>
  <w:style w:type="table" w:customStyle="1" w:styleId="2">
    <w:name w:val="网格型2"/>
    <w:basedOn w:val="a1"/>
    <w:next w:val="a5"/>
    <w:uiPriority w:val="59"/>
    <w:rsid w:val="00C6108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647DB1"/>
    <w:rPr>
      <w:b/>
      <w:bCs/>
      <w:kern w:val="44"/>
      <w:sz w:val="21"/>
      <w:szCs w:val="44"/>
    </w:rPr>
  </w:style>
  <w:style w:type="character" w:customStyle="1" w:styleId="7Char">
    <w:name w:val="标题 7 Char"/>
    <w:link w:val="7"/>
    <w:uiPriority w:val="9"/>
    <w:semiHidden/>
    <w:rsid w:val="000B1941"/>
    <w:rPr>
      <w:b/>
      <w:bCs/>
      <w:kern w:val="2"/>
      <w:sz w:val="24"/>
      <w:szCs w:val="24"/>
    </w:rPr>
  </w:style>
  <w:style w:type="character" w:customStyle="1" w:styleId="Char">
    <w:name w:val="页脚 Char"/>
    <w:link w:val="a4"/>
    <w:uiPriority w:val="99"/>
    <w:rsid w:val="001B1348"/>
    <w:rPr>
      <w:kern w:val="2"/>
      <w:sz w:val="18"/>
    </w:rPr>
  </w:style>
  <w:style w:type="paragraph" w:styleId="a6">
    <w:name w:val="Balloon Text"/>
    <w:basedOn w:val="a"/>
    <w:link w:val="Char0"/>
    <w:uiPriority w:val="99"/>
    <w:semiHidden/>
    <w:unhideWhenUsed/>
    <w:rsid w:val="008970FB"/>
    <w:rPr>
      <w:sz w:val="18"/>
      <w:szCs w:val="18"/>
    </w:rPr>
  </w:style>
  <w:style w:type="character" w:customStyle="1" w:styleId="Char0">
    <w:name w:val="批注框文本 Char"/>
    <w:link w:val="a6"/>
    <w:uiPriority w:val="99"/>
    <w:semiHidden/>
    <w:rsid w:val="008970FB"/>
    <w:rPr>
      <w:kern w:val="2"/>
      <w:sz w:val="18"/>
      <w:szCs w:val="18"/>
    </w:rPr>
  </w:style>
  <w:style w:type="paragraph" w:styleId="a7">
    <w:name w:val="List Paragraph"/>
    <w:basedOn w:val="a"/>
    <w:uiPriority w:val="99"/>
    <w:qFormat/>
    <w:rsid w:val="008970FB"/>
    <w:pPr>
      <w:ind w:firstLineChars="200" w:firstLine="420"/>
    </w:pPr>
  </w:style>
  <w:style w:type="paragraph" w:styleId="a8">
    <w:name w:val="footnote text"/>
    <w:basedOn w:val="a"/>
    <w:link w:val="Char1"/>
    <w:uiPriority w:val="99"/>
    <w:semiHidden/>
    <w:unhideWhenUsed/>
    <w:rsid w:val="002B29B3"/>
    <w:pPr>
      <w:snapToGrid w:val="0"/>
      <w:jc w:val="left"/>
    </w:pPr>
    <w:rPr>
      <w:sz w:val="18"/>
      <w:szCs w:val="18"/>
    </w:rPr>
  </w:style>
  <w:style w:type="character" w:customStyle="1" w:styleId="Char1">
    <w:name w:val="脚注文本 Char"/>
    <w:link w:val="a8"/>
    <w:uiPriority w:val="99"/>
    <w:semiHidden/>
    <w:rsid w:val="002B29B3"/>
    <w:rPr>
      <w:kern w:val="2"/>
      <w:sz w:val="18"/>
      <w:szCs w:val="18"/>
    </w:rPr>
  </w:style>
  <w:style w:type="character" w:styleId="a9">
    <w:name w:val="footnote reference"/>
    <w:rsid w:val="002B29B3"/>
    <w:rPr>
      <w:vertAlign w:val="superscript"/>
    </w:rPr>
  </w:style>
  <w:style w:type="character" w:styleId="aa">
    <w:name w:val="annotation reference"/>
    <w:uiPriority w:val="99"/>
    <w:semiHidden/>
    <w:unhideWhenUsed/>
    <w:rsid w:val="00E97ECF"/>
    <w:rPr>
      <w:sz w:val="21"/>
      <w:szCs w:val="21"/>
    </w:rPr>
  </w:style>
  <w:style w:type="paragraph" w:styleId="ab">
    <w:name w:val="annotation text"/>
    <w:basedOn w:val="a"/>
    <w:link w:val="Char2"/>
    <w:uiPriority w:val="99"/>
    <w:semiHidden/>
    <w:unhideWhenUsed/>
    <w:rsid w:val="00E97ECF"/>
    <w:pPr>
      <w:jc w:val="left"/>
    </w:pPr>
  </w:style>
  <w:style w:type="character" w:customStyle="1" w:styleId="Char2">
    <w:name w:val="批注文字 Char"/>
    <w:link w:val="ab"/>
    <w:uiPriority w:val="99"/>
    <w:semiHidden/>
    <w:rsid w:val="00E97ECF"/>
    <w:rPr>
      <w:kern w:val="2"/>
      <w:sz w:val="21"/>
    </w:rPr>
  </w:style>
  <w:style w:type="paragraph" w:styleId="ac">
    <w:name w:val="annotation subject"/>
    <w:basedOn w:val="ab"/>
    <w:next w:val="ab"/>
    <w:link w:val="Char3"/>
    <w:uiPriority w:val="99"/>
    <w:semiHidden/>
    <w:unhideWhenUsed/>
    <w:rsid w:val="00E97ECF"/>
    <w:rPr>
      <w:b/>
      <w:bCs/>
    </w:rPr>
  </w:style>
  <w:style w:type="character" w:customStyle="1" w:styleId="Char3">
    <w:name w:val="批注主题 Char"/>
    <w:link w:val="ac"/>
    <w:uiPriority w:val="99"/>
    <w:semiHidden/>
    <w:rsid w:val="00E97ECF"/>
    <w:rPr>
      <w:b/>
      <w:bCs/>
      <w:kern w:val="2"/>
      <w:sz w:val="21"/>
    </w:rPr>
  </w:style>
  <w:style w:type="character" w:styleId="ad">
    <w:name w:val="Placeholder Text"/>
    <w:basedOn w:val="a0"/>
    <w:uiPriority w:val="99"/>
    <w:unhideWhenUsed/>
    <w:rsid w:val="00647DB1"/>
    <w:rPr>
      <w:color w:val="auto"/>
    </w:rPr>
  </w:style>
  <w:style w:type="paragraph" w:styleId="ae">
    <w:name w:val="Title"/>
    <w:basedOn w:val="a"/>
    <w:next w:val="a"/>
    <w:link w:val="Char4"/>
    <w:uiPriority w:val="10"/>
    <w:qFormat/>
    <w:rsid w:val="00B34FBD"/>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e"/>
    <w:uiPriority w:val="10"/>
    <w:rsid w:val="00B34FBD"/>
    <w:rPr>
      <w:rFonts w:asciiTheme="majorHAnsi" w:hAnsiTheme="majorHAnsi" w:cstheme="majorBidi"/>
      <w:b/>
      <w:bCs/>
      <w:kern w:val="2"/>
      <w:sz w:val="32"/>
      <w:szCs w:val="32"/>
    </w:rPr>
  </w:style>
  <w:style w:type="paragraph" w:styleId="11">
    <w:name w:val="toc 1"/>
    <w:basedOn w:val="a"/>
    <w:next w:val="a"/>
    <w:autoRedefine/>
    <w:uiPriority w:val="39"/>
    <w:unhideWhenUsed/>
    <w:rsid w:val="00EC0A5E"/>
  </w:style>
  <w:style w:type="paragraph" w:styleId="20">
    <w:name w:val="toc 2"/>
    <w:basedOn w:val="a"/>
    <w:next w:val="a"/>
    <w:autoRedefine/>
    <w:uiPriority w:val="39"/>
    <w:unhideWhenUsed/>
    <w:rsid w:val="00EC0A5E"/>
    <w:pPr>
      <w:ind w:leftChars="200" w:left="420"/>
    </w:pPr>
  </w:style>
  <w:style w:type="character" w:styleId="af">
    <w:name w:val="Hyperlink"/>
    <w:basedOn w:val="a0"/>
    <w:uiPriority w:val="99"/>
    <w:unhideWhenUsed/>
    <w:rsid w:val="00EC0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0132">
      <w:bodyDiv w:val="1"/>
      <w:marLeft w:val="0"/>
      <w:marRight w:val="0"/>
      <w:marTop w:val="100"/>
      <w:marBottom w:val="100"/>
      <w:divBdr>
        <w:top w:val="none" w:sz="0" w:space="0" w:color="auto"/>
        <w:left w:val="none" w:sz="0" w:space="0" w:color="auto"/>
        <w:bottom w:val="none" w:sz="0" w:space="0" w:color="auto"/>
        <w:right w:val="none" w:sz="0" w:space="0" w:color="auto"/>
      </w:divBdr>
      <w:divsChild>
        <w:div w:id="29962944">
          <w:marLeft w:val="0"/>
          <w:marRight w:val="0"/>
          <w:marTop w:val="0"/>
          <w:marBottom w:val="0"/>
          <w:divBdr>
            <w:top w:val="none" w:sz="0" w:space="0" w:color="auto"/>
            <w:left w:val="none" w:sz="0" w:space="0" w:color="auto"/>
            <w:bottom w:val="none" w:sz="0" w:space="0" w:color="auto"/>
            <w:right w:val="none" w:sz="0" w:space="0" w:color="auto"/>
          </w:divBdr>
          <w:divsChild>
            <w:div w:id="1594968456">
              <w:marLeft w:val="0"/>
              <w:marRight w:val="0"/>
              <w:marTop w:val="0"/>
              <w:marBottom w:val="0"/>
              <w:divBdr>
                <w:top w:val="none" w:sz="0" w:space="0" w:color="auto"/>
                <w:left w:val="none" w:sz="0" w:space="0" w:color="auto"/>
                <w:bottom w:val="none" w:sz="0" w:space="0" w:color="auto"/>
                <w:right w:val="none" w:sz="0" w:space="0" w:color="auto"/>
              </w:divBdr>
              <w:divsChild>
                <w:div w:id="1776289238">
                  <w:marLeft w:val="0"/>
                  <w:marRight w:val="0"/>
                  <w:marTop w:val="0"/>
                  <w:marBottom w:val="0"/>
                  <w:divBdr>
                    <w:top w:val="none" w:sz="0" w:space="0" w:color="auto"/>
                    <w:left w:val="none" w:sz="0" w:space="0" w:color="auto"/>
                    <w:bottom w:val="none" w:sz="0" w:space="0" w:color="auto"/>
                    <w:right w:val="none" w:sz="0" w:space="0" w:color="auto"/>
                  </w:divBdr>
                  <w:divsChild>
                    <w:div w:id="1053575666">
                      <w:marLeft w:val="0"/>
                      <w:marRight w:val="0"/>
                      <w:marTop w:val="150"/>
                      <w:marBottom w:val="0"/>
                      <w:divBdr>
                        <w:top w:val="none" w:sz="0" w:space="0" w:color="auto"/>
                        <w:left w:val="none" w:sz="0" w:space="0" w:color="auto"/>
                        <w:bottom w:val="none" w:sz="0" w:space="0" w:color="auto"/>
                        <w:right w:val="none" w:sz="0" w:space="0" w:color="auto"/>
                      </w:divBdr>
                      <w:divsChild>
                        <w:div w:id="245000287">
                          <w:marLeft w:val="0"/>
                          <w:marRight w:val="0"/>
                          <w:marTop w:val="0"/>
                          <w:marBottom w:val="0"/>
                          <w:divBdr>
                            <w:top w:val="none" w:sz="0" w:space="0" w:color="auto"/>
                            <w:left w:val="none" w:sz="0" w:space="0" w:color="auto"/>
                            <w:bottom w:val="none" w:sz="0" w:space="0" w:color="auto"/>
                            <w:right w:val="none" w:sz="0" w:space="0" w:color="auto"/>
                          </w:divBdr>
                          <w:divsChild>
                            <w:div w:id="85151216">
                              <w:marLeft w:val="0"/>
                              <w:marRight w:val="0"/>
                              <w:marTop w:val="0"/>
                              <w:marBottom w:val="0"/>
                              <w:divBdr>
                                <w:top w:val="none" w:sz="0" w:space="0" w:color="auto"/>
                                <w:left w:val="none" w:sz="0" w:space="0" w:color="auto"/>
                                <w:bottom w:val="none" w:sz="0" w:space="0" w:color="auto"/>
                                <w:right w:val="none" w:sz="0" w:space="0" w:color="auto"/>
                              </w:divBdr>
                              <w:divsChild>
                                <w:div w:id="1122067843">
                                  <w:marLeft w:val="0"/>
                                  <w:marRight w:val="0"/>
                                  <w:marTop w:val="0"/>
                                  <w:marBottom w:val="0"/>
                                  <w:divBdr>
                                    <w:top w:val="none" w:sz="0" w:space="0" w:color="auto"/>
                                    <w:left w:val="none" w:sz="0" w:space="0" w:color="auto"/>
                                    <w:bottom w:val="none" w:sz="0" w:space="0" w:color="auto"/>
                                    <w:right w:val="none" w:sz="0" w:space="0" w:color="auto"/>
                                  </w:divBdr>
                                  <w:divsChild>
                                    <w:div w:id="601455449">
                                      <w:marLeft w:val="0"/>
                                      <w:marRight w:val="0"/>
                                      <w:marTop w:val="0"/>
                                      <w:marBottom w:val="0"/>
                                      <w:divBdr>
                                        <w:top w:val="none" w:sz="0" w:space="0" w:color="auto"/>
                                        <w:left w:val="none" w:sz="0" w:space="0" w:color="auto"/>
                                        <w:bottom w:val="none" w:sz="0" w:space="0" w:color="auto"/>
                                        <w:right w:val="none" w:sz="0" w:space="0" w:color="auto"/>
                                      </w:divBdr>
                                      <w:divsChild>
                                        <w:div w:id="1189484089">
                                          <w:marLeft w:val="0"/>
                                          <w:marRight w:val="0"/>
                                          <w:marTop w:val="0"/>
                                          <w:marBottom w:val="0"/>
                                          <w:divBdr>
                                            <w:top w:val="none" w:sz="0" w:space="0" w:color="auto"/>
                                            <w:left w:val="none" w:sz="0" w:space="0" w:color="auto"/>
                                            <w:bottom w:val="none" w:sz="0" w:space="0" w:color="auto"/>
                                            <w:right w:val="none" w:sz="0" w:space="0" w:color="auto"/>
                                          </w:divBdr>
                                          <w:divsChild>
                                            <w:div w:id="309017319">
                                              <w:marLeft w:val="0"/>
                                              <w:marRight w:val="0"/>
                                              <w:marTop w:val="0"/>
                                              <w:marBottom w:val="0"/>
                                              <w:divBdr>
                                                <w:top w:val="none" w:sz="0" w:space="0" w:color="auto"/>
                                                <w:left w:val="none" w:sz="0" w:space="0" w:color="auto"/>
                                                <w:bottom w:val="none" w:sz="0" w:space="0" w:color="auto"/>
                                                <w:right w:val="none" w:sz="0" w:space="0" w:color="auto"/>
                                              </w:divBdr>
                                              <w:divsChild>
                                                <w:div w:id="1290628875">
                                                  <w:marLeft w:val="0"/>
                                                  <w:marRight w:val="0"/>
                                                  <w:marTop w:val="0"/>
                                                  <w:marBottom w:val="0"/>
                                                  <w:divBdr>
                                                    <w:top w:val="none" w:sz="0" w:space="0" w:color="auto"/>
                                                    <w:left w:val="none" w:sz="0" w:space="0" w:color="auto"/>
                                                    <w:bottom w:val="none" w:sz="0" w:space="0" w:color="auto"/>
                                                    <w:right w:val="none" w:sz="0" w:space="0" w:color="auto"/>
                                                  </w:divBdr>
                                                  <w:divsChild>
                                                    <w:div w:id="1734158297">
                                                      <w:marLeft w:val="0"/>
                                                      <w:marRight w:val="0"/>
                                                      <w:marTop w:val="0"/>
                                                      <w:marBottom w:val="0"/>
                                                      <w:divBdr>
                                                        <w:top w:val="none" w:sz="0" w:space="0" w:color="auto"/>
                                                        <w:left w:val="none" w:sz="0" w:space="0" w:color="auto"/>
                                                        <w:bottom w:val="none" w:sz="0" w:space="0" w:color="auto"/>
                                                        <w:right w:val="none" w:sz="0" w:space="0" w:color="auto"/>
                                                      </w:divBdr>
                                                      <w:divsChild>
                                                        <w:div w:id="160657855">
                                                          <w:marLeft w:val="0"/>
                                                          <w:marRight w:val="0"/>
                                                          <w:marTop w:val="0"/>
                                                          <w:marBottom w:val="0"/>
                                                          <w:divBdr>
                                                            <w:top w:val="none" w:sz="0" w:space="0" w:color="auto"/>
                                                            <w:left w:val="none" w:sz="0" w:space="0" w:color="auto"/>
                                                            <w:bottom w:val="none" w:sz="0" w:space="0" w:color="auto"/>
                                                            <w:right w:val="none" w:sz="0" w:space="0" w:color="auto"/>
                                                          </w:divBdr>
                                                          <w:divsChild>
                                                            <w:div w:id="2121602103">
                                                              <w:marLeft w:val="0"/>
                                                              <w:marRight w:val="0"/>
                                                              <w:marTop w:val="0"/>
                                                              <w:marBottom w:val="0"/>
                                                              <w:divBdr>
                                                                <w:top w:val="none" w:sz="0" w:space="0" w:color="auto"/>
                                                                <w:left w:val="none" w:sz="0" w:space="0" w:color="auto"/>
                                                                <w:bottom w:val="none" w:sz="0" w:space="0" w:color="auto"/>
                                                                <w:right w:val="none" w:sz="0" w:space="0" w:color="auto"/>
                                                              </w:divBdr>
                                                              <w:divsChild>
                                                                <w:div w:id="978387871">
                                                                  <w:marLeft w:val="0"/>
                                                                  <w:marRight w:val="0"/>
                                                                  <w:marTop w:val="0"/>
                                                                  <w:marBottom w:val="0"/>
                                                                  <w:divBdr>
                                                                    <w:top w:val="none" w:sz="0" w:space="0" w:color="auto"/>
                                                                    <w:left w:val="none" w:sz="0" w:space="0" w:color="auto"/>
                                                                    <w:bottom w:val="none" w:sz="0" w:space="0" w:color="auto"/>
                                                                    <w:right w:val="none" w:sz="0" w:space="0" w:color="auto"/>
                                                                  </w:divBdr>
                                                                  <w:divsChild>
                                                                    <w:div w:id="1926960625">
                                                                      <w:marLeft w:val="0"/>
                                                                      <w:marRight w:val="0"/>
                                                                      <w:marTop w:val="0"/>
                                                                      <w:marBottom w:val="0"/>
                                                                      <w:divBdr>
                                                                        <w:top w:val="none" w:sz="0" w:space="0" w:color="auto"/>
                                                                        <w:left w:val="none" w:sz="0" w:space="0" w:color="auto"/>
                                                                        <w:bottom w:val="none" w:sz="0" w:space="0" w:color="auto"/>
                                                                        <w:right w:val="none" w:sz="0" w:space="0" w:color="auto"/>
                                                                      </w:divBdr>
                                                                      <w:divsChild>
                                                                        <w:div w:id="1053042310">
                                                                          <w:marLeft w:val="0"/>
                                                                          <w:marRight w:val="0"/>
                                                                          <w:marTop w:val="0"/>
                                                                          <w:marBottom w:val="0"/>
                                                                          <w:divBdr>
                                                                            <w:top w:val="none" w:sz="0" w:space="0" w:color="auto"/>
                                                                            <w:left w:val="none" w:sz="0" w:space="0" w:color="auto"/>
                                                                            <w:bottom w:val="none" w:sz="0" w:space="0" w:color="auto"/>
                                                                            <w:right w:val="none" w:sz="0" w:space="0" w:color="auto"/>
                                                                          </w:divBdr>
                                                                          <w:divsChild>
                                                                            <w:div w:id="21416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122446">
      <w:bodyDiv w:val="1"/>
      <w:marLeft w:val="0"/>
      <w:marRight w:val="0"/>
      <w:marTop w:val="0"/>
      <w:marBottom w:val="0"/>
      <w:divBdr>
        <w:top w:val="none" w:sz="0" w:space="0" w:color="auto"/>
        <w:left w:val="none" w:sz="0" w:space="0" w:color="auto"/>
        <w:bottom w:val="none" w:sz="0" w:space="0" w:color="auto"/>
        <w:right w:val="none" w:sz="0" w:space="0" w:color="auto"/>
      </w:divBdr>
    </w:div>
    <w:div w:id="1102578713">
      <w:bodyDiv w:val="1"/>
      <w:marLeft w:val="0"/>
      <w:marRight w:val="0"/>
      <w:marTop w:val="0"/>
      <w:marBottom w:val="0"/>
      <w:divBdr>
        <w:top w:val="none" w:sz="0" w:space="0" w:color="auto"/>
        <w:left w:val="none" w:sz="0" w:space="0" w:color="auto"/>
        <w:bottom w:val="none" w:sz="0" w:space="0" w:color="auto"/>
        <w:right w:val="none" w:sz="0" w:space="0" w:color="auto"/>
      </w:divBdr>
      <w:divsChild>
        <w:div w:id="2044860714">
          <w:marLeft w:val="0"/>
          <w:marRight w:val="0"/>
          <w:marTop w:val="0"/>
          <w:marBottom w:val="0"/>
          <w:divBdr>
            <w:top w:val="none" w:sz="0" w:space="0" w:color="auto"/>
            <w:left w:val="none" w:sz="0" w:space="0" w:color="auto"/>
            <w:bottom w:val="none" w:sz="0" w:space="0" w:color="auto"/>
            <w:right w:val="none" w:sz="0" w:space="0" w:color="auto"/>
          </w:divBdr>
          <w:divsChild>
            <w:div w:id="317879763">
              <w:marLeft w:val="0"/>
              <w:marRight w:val="0"/>
              <w:marTop w:val="0"/>
              <w:marBottom w:val="0"/>
              <w:divBdr>
                <w:top w:val="none" w:sz="0" w:space="0" w:color="auto"/>
                <w:left w:val="none" w:sz="0" w:space="0" w:color="auto"/>
                <w:bottom w:val="none" w:sz="0" w:space="0" w:color="auto"/>
                <w:right w:val="none" w:sz="0" w:space="0" w:color="auto"/>
              </w:divBdr>
              <w:divsChild>
                <w:div w:id="1441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1324">
      <w:bodyDiv w:val="1"/>
      <w:marLeft w:val="0"/>
      <w:marRight w:val="0"/>
      <w:marTop w:val="0"/>
      <w:marBottom w:val="0"/>
      <w:divBdr>
        <w:top w:val="none" w:sz="0" w:space="0" w:color="auto"/>
        <w:left w:val="none" w:sz="0" w:space="0" w:color="auto"/>
        <w:bottom w:val="none" w:sz="0" w:space="0" w:color="auto"/>
        <w:right w:val="none" w:sz="0" w:space="0" w:color="auto"/>
      </w:divBdr>
      <w:divsChild>
        <w:div w:id="1808937787">
          <w:marLeft w:val="0"/>
          <w:marRight w:val="0"/>
          <w:marTop w:val="0"/>
          <w:marBottom w:val="0"/>
          <w:divBdr>
            <w:top w:val="none" w:sz="0" w:space="0" w:color="auto"/>
            <w:left w:val="none" w:sz="0" w:space="0" w:color="auto"/>
            <w:bottom w:val="none" w:sz="0" w:space="0" w:color="auto"/>
            <w:right w:val="none" w:sz="0" w:space="0" w:color="auto"/>
          </w:divBdr>
          <w:divsChild>
            <w:div w:id="1260603398">
              <w:marLeft w:val="0"/>
              <w:marRight w:val="0"/>
              <w:marTop w:val="0"/>
              <w:marBottom w:val="0"/>
              <w:divBdr>
                <w:top w:val="none" w:sz="0" w:space="0" w:color="auto"/>
                <w:left w:val="none" w:sz="0" w:space="0" w:color="auto"/>
                <w:bottom w:val="none" w:sz="0" w:space="0" w:color="auto"/>
                <w:right w:val="none" w:sz="0" w:space="0" w:color="auto"/>
              </w:divBdr>
              <w:divsChild>
                <w:div w:id="10898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8608">
      <w:bodyDiv w:val="1"/>
      <w:marLeft w:val="0"/>
      <w:marRight w:val="0"/>
      <w:marTop w:val="0"/>
      <w:marBottom w:val="0"/>
      <w:divBdr>
        <w:top w:val="none" w:sz="0" w:space="0" w:color="auto"/>
        <w:left w:val="none" w:sz="0" w:space="0" w:color="auto"/>
        <w:bottom w:val="none" w:sz="0" w:space="0" w:color="auto"/>
        <w:right w:val="none" w:sz="0" w:space="0" w:color="auto"/>
      </w:divBdr>
      <w:divsChild>
        <w:div w:id="1649046804">
          <w:marLeft w:val="0"/>
          <w:marRight w:val="0"/>
          <w:marTop w:val="0"/>
          <w:marBottom w:val="0"/>
          <w:divBdr>
            <w:top w:val="none" w:sz="0" w:space="0" w:color="auto"/>
            <w:left w:val="none" w:sz="0" w:space="0" w:color="auto"/>
            <w:bottom w:val="none" w:sz="0" w:space="0" w:color="auto"/>
            <w:right w:val="none" w:sz="0" w:space="0" w:color="auto"/>
          </w:divBdr>
          <w:divsChild>
            <w:div w:id="755790137">
              <w:marLeft w:val="0"/>
              <w:marRight w:val="0"/>
              <w:marTop w:val="0"/>
              <w:marBottom w:val="0"/>
              <w:divBdr>
                <w:top w:val="none" w:sz="0" w:space="0" w:color="auto"/>
                <w:left w:val="none" w:sz="0" w:space="0" w:color="auto"/>
                <w:bottom w:val="none" w:sz="0" w:space="0" w:color="auto"/>
                <w:right w:val="none" w:sz="0" w:space="0" w:color="auto"/>
              </w:divBdr>
              <w:divsChild>
                <w:div w:id="753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7340">
      <w:bodyDiv w:val="1"/>
      <w:marLeft w:val="0"/>
      <w:marRight w:val="0"/>
      <w:marTop w:val="0"/>
      <w:marBottom w:val="0"/>
      <w:divBdr>
        <w:top w:val="none" w:sz="0" w:space="0" w:color="auto"/>
        <w:left w:val="none" w:sz="0" w:space="0" w:color="auto"/>
        <w:bottom w:val="none" w:sz="0" w:space="0" w:color="auto"/>
        <w:right w:val="none" w:sz="0" w:space="0" w:color="auto"/>
      </w:divBdr>
      <w:divsChild>
        <w:div w:id="1539202938">
          <w:marLeft w:val="0"/>
          <w:marRight w:val="0"/>
          <w:marTop w:val="0"/>
          <w:marBottom w:val="0"/>
          <w:divBdr>
            <w:top w:val="none" w:sz="0" w:space="0" w:color="auto"/>
            <w:left w:val="none" w:sz="0" w:space="0" w:color="auto"/>
            <w:bottom w:val="none" w:sz="0" w:space="0" w:color="auto"/>
            <w:right w:val="none" w:sz="0" w:space="0" w:color="auto"/>
          </w:divBdr>
          <w:divsChild>
            <w:div w:id="1918860945">
              <w:marLeft w:val="0"/>
              <w:marRight w:val="0"/>
              <w:marTop w:val="0"/>
              <w:marBottom w:val="0"/>
              <w:divBdr>
                <w:top w:val="none" w:sz="0" w:space="0" w:color="auto"/>
                <w:left w:val="none" w:sz="0" w:space="0" w:color="auto"/>
                <w:bottom w:val="none" w:sz="0" w:space="0" w:color="auto"/>
                <w:right w:val="none" w:sz="0" w:space="0" w:color="auto"/>
              </w:divBdr>
              <w:divsChild>
                <w:div w:id="12170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2848">
      <w:bodyDiv w:val="1"/>
      <w:marLeft w:val="0"/>
      <w:marRight w:val="0"/>
      <w:marTop w:val="100"/>
      <w:marBottom w:val="100"/>
      <w:divBdr>
        <w:top w:val="none" w:sz="0" w:space="0" w:color="auto"/>
        <w:left w:val="none" w:sz="0" w:space="0" w:color="auto"/>
        <w:bottom w:val="none" w:sz="0" w:space="0" w:color="auto"/>
        <w:right w:val="none" w:sz="0" w:space="0" w:color="auto"/>
      </w:divBdr>
      <w:divsChild>
        <w:div w:id="2084715434">
          <w:marLeft w:val="0"/>
          <w:marRight w:val="0"/>
          <w:marTop w:val="0"/>
          <w:marBottom w:val="0"/>
          <w:divBdr>
            <w:top w:val="none" w:sz="0" w:space="0" w:color="auto"/>
            <w:left w:val="none" w:sz="0" w:space="0" w:color="auto"/>
            <w:bottom w:val="none" w:sz="0" w:space="0" w:color="auto"/>
            <w:right w:val="none" w:sz="0" w:space="0" w:color="auto"/>
          </w:divBdr>
          <w:divsChild>
            <w:div w:id="327099865">
              <w:marLeft w:val="0"/>
              <w:marRight w:val="0"/>
              <w:marTop w:val="0"/>
              <w:marBottom w:val="0"/>
              <w:divBdr>
                <w:top w:val="none" w:sz="0" w:space="0" w:color="auto"/>
                <w:left w:val="none" w:sz="0" w:space="0" w:color="auto"/>
                <w:bottom w:val="none" w:sz="0" w:space="0" w:color="auto"/>
                <w:right w:val="none" w:sz="0" w:space="0" w:color="auto"/>
              </w:divBdr>
              <w:divsChild>
                <w:div w:id="1354963500">
                  <w:marLeft w:val="0"/>
                  <w:marRight w:val="0"/>
                  <w:marTop w:val="0"/>
                  <w:marBottom w:val="0"/>
                  <w:divBdr>
                    <w:top w:val="none" w:sz="0" w:space="0" w:color="auto"/>
                    <w:left w:val="none" w:sz="0" w:space="0" w:color="auto"/>
                    <w:bottom w:val="none" w:sz="0" w:space="0" w:color="auto"/>
                    <w:right w:val="none" w:sz="0" w:space="0" w:color="auto"/>
                  </w:divBdr>
                  <w:divsChild>
                    <w:div w:id="1049111323">
                      <w:marLeft w:val="0"/>
                      <w:marRight w:val="0"/>
                      <w:marTop w:val="150"/>
                      <w:marBottom w:val="0"/>
                      <w:divBdr>
                        <w:top w:val="none" w:sz="0" w:space="0" w:color="auto"/>
                        <w:left w:val="none" w:sz="0" w:space="0" w:color="auto"/>
                        <w:bottom w:val="none" w:sz="0" w:space="0" w:color="auto"/>
                        <w:right w:val="none" w:sz="0" w:space="0" w:color="auto"/>
                      </w:divBdr>
                      <w:divsChild>
                        <w:div w:id="305086800">
                          <w:marLeft w:val="0"/>
                          <w:marRight w:val="0"/>
                          <w:marTop w:val="0"/>
                          <w:marBottom w:val="0"/>
                          <w:divBdr>
                            <w:top w:val="none" w:sz="0" w:space="0" w:color="auto"/>
                            <w:left w:val="none" w:sz="0" w:space="0" w:color="auto"/>
                            <w:bottom w:val="none" w:sz="0" w:space="0" w:color="auto"/>
                            <w:right w:val="none" w:sz="0" w:space="0" w:color="auto"/>
                          </w:divBdr>
                          <w:divsChild>
                            <w:div w:id="1395810758">
                              <w:marLeft w:val="0"/>
                              <w:marRight w:val="0"/>
                              <w:marTop w:val="0"/>
                              <w:marBottom w:val="0"/>
                              <w:divBdr>
                                <w:top w:val="none" w:sz="0" w:space="0" w:color="auto"/>
                                <w:left w:val="none" w:sz="0" w:space="0" w:color="auto"/>
                                <w:bottom w:val="none" w:sz="0" w:space="0" w:color="auto"/>
                                <w:right w:val="none" w:sz="0" w:space="0" w:color="auto"/>
                              </w:divBdr>
                              <w:divsChild>
                                <w:div w:id="1245799143">
                                  <w:marLeft w:val="0"/>
                                  <w:marRight w:val="0"/>
                                  <w:marTop w:val="0"/>
                                  <w:marBottom w:val="0"/>
                                  <w:divBdr>
                                    <w:top w:val="none" w:sz="0" w:space="0" w:color="auto"/>
                                    <w:left w:val="none" w:sz="0" w:space="0" w:color="auto"/>
                                    <w:bottom w:val="none" w:sz="0" w:space="0" w:color="auto"/>
                                    <w:right w:val="none" w:sz="0" w:space="0" w:color="auto"/>
                                  </w:divBdr>
                                  <w:divsChild>
                                    <w:div w:id="1533570968">
                                      <w:marLeft w:val="0"/>
                                      <w:marRight w:val="0"/>
                                      <w:marTop w:val="0"/>
                                      <w:marBottom w:val="0"/>
                                      <w:divBdr>
                                        <w:top w:val="none" w:sz="0" w:space="0" w:color="auto"/>
                                        <w:left w:val="none" w:sz="0" w:space="0" w:color="auto"/>
                                        <w:bottom w:val="none" w:sz="0" w:space="0" w:color="auto"/>
                                        <w:right w:val="none" w:sz="0" w:space="0" w:color="auto"/>
                                      </w:divBdr>
                                      <w:divsChild>
                                        <w:div w:id="2004426109">
                                          <w:marLeft w:val="0"/>
                                          <w:marRight w:val="0"/>
                                          <w:marTop w:val="0"/>
                                          <w:marBottom w:val="0"/>
                                          <w:divBdr>
                                            <w:top w:val="none" w:sz="0" w:space="0" w:color="auto"/>
                                            <w:left w:val="none" w:sz="0" w:space="0" w:color="auto"/>
                                            <w:bottom w:val="none" w:sz="0" w:space="0" w:color="auto"/>
                                            <w:right w:val="none" w:sz="0" w:space="0" w:color="auto"/>
                                          </w:divBdr>
                                          <w:divsChild>
                                            <w:div w:id="1147937801">
                                              <w:marLeft w:val="0"/>
                                              <w:marRight w:val="0"/>
                                              <w:marTop w:val="0"/>
                                              <w:marBottom w:val="0"/>
                                              <w:divBdr>
                                                <w:top w:val="none" w:sz="0" w:space="0" w:color="auto"/>
                                                <w:left w:val="none" w:sz="0" w:space="0" w:color="auto"/>
                                                <w:bottom w:val="none" w:sz="0" w:space="0" w:color="auto"/>
                                                <w:right w:val="none" w:sz="0" w:space="0" w:color="auto"/>
                                              </w:divBdr>
                                              <w:divsChild>
                                                <w:div w:id="1480146356">
                                                  <w:marLeft w:val="0"/>
                                                  <w:marRight w:val="0"/>
                                                  <w:marTop w:val="0"/>
                                                  <w:marBottom w:val="0"/>
                                                  <w:divBdr>
                                                    <w:top w:val="none" w:sz="0" w:space="0" w:color="auto"/>
                                                    <w:left w:val="none" w:sz="0" w:space="0" w:color="auto"/>
                                                    <w:bottom w:val="none" w:sz="0" w:space="0" w:color="auto"/>
                                                    <w:right w:val="none" w:sz="0" w:space="0" w:color="auto"/>
                                                  </w:divBdr>
                                                  <w:divsChild>
                                                    <w:div w:id="1692602952">
                                                      <w:marLeft w:val="0"/>
                                                      <w:marRight w:val="0"/>
                                                      <w:marTop w:val="0"/>
                                                      <w:marBottom w:val="0"/>
                                                      <w:divBdr>
                                                        <w:top w:val="none" w:sz="0" w:space="0" w:color="auto"/>
                                                        <w:left w:val="none" w:sz="0" w:space="0" w:color="auto"/>
                                                        <w:bottom w:val="none" w:sz="0" w:space="0" w:color="auto"/>
                                                        <w:right w:val="none" w:sz="0" w:space="0" w:color="auto"/>
                                                      </w:divBdr>
                                                      <w:divsChild>
                                                        <w:div w:id="2058310424">
                                                          <w:marLeft w:val="0"/>
                                                          <w:marRight w:val="0"/>
                                                          <w:marTop w:val="0"/>
                                                          <w:marBottom w:val="0"/>
                                                          <w:divBdr>
                                                            <w:top w:val="none" w:sz="0" w:space="0" w:color="auto"/>
                                                            <w:left w:val="none" w:sz="0" w:space="0" w:color="auto"/>
                                                            <w:bottom w:val="none" w:sz="0" w:space="0" w:color="auto"/>
                                                            <w:right w:val="none" w:sz="0" w:space="0" w:color="auto"/>
                                                          </w:divBdr>
                                                          <w:divsChild>
                                                            <w:div w:id="563223851">
                                                              <w:marLeft w:val="0"/>
                                                              <w:marRight w:val="0"/>
                                                              <w:marTop w:val="0"/>
                                                              <w:marBottom w:val="0"/>
                                                              <w:divBdr>
                                                                <w:top w:val="none" w:sz="0" w:space="0" w:color="auto"/>
                                                                <w:left w:val="none" w:sz="0" w:space="0" w:color="auto"/>
                                                                <w:bottom w:val="none" w:sz="0" w:space="0" w:color="auto"/>
                                                                <w:right w:val="none" w:sz="0" w:space="0" w:color="auto"/>
                                                              </w:divBdr>
                                                              <w:divsChild>
                                                                <w:div w:id="1993560037">
                                                                  <w:marLeft w:val="0"/>
                                                                  <w:marRight w:val="0"/>
                                                                  <w:marTop w:val="0"/>
                                                                  <w:marBottom w:val="0"/>
                                                                  <w:divBdr>
                                                                    <w:top w:val="none" w:sz="0" w:space="0" w:color="auto"/>
                                                                    <w:left w:val="none" w:sz="0" w:space="0" w:color="auto"/>
                                                                    <w:bottom w:val="none" w:sz="0" w:space="0" w:color="auto"/>
                                                                    <w:right w:val="none" w:sz="0" w:space="0" w:color="auto"/>
                                                                  </w:divBdr>
                                                                  <w:divsChild>
                                                                    <w:div w:id="1011684690">
                                                                      <w:marLeft w:val="0"/>
                                                                      <w:marRight w:val="0"/>
                                                                      <w:marTop w:val="0"/>
                                                                      <w:marBottom w:val="0"/>
                                                                      <w:divBdr>
                                                                        <w:top w:val="none" w:sz="0" w:space="0" w:color="auto"/>
                                                                        <w:left w:val="none" w:sz="0" w:space="0" w:color="auto"/>
                                                                        <w:bottom w:val="none" w:sz="0" w:space="0" w:color="auto"/>
                                                                        <w:right w:val="none" w:sz="0" w:space="0" w:color="auto"/>
                                                                      </w:divBdr>
                                                                      <w:divsChild>
                                                                        <w:div w:id="1604655257">
                                                                          <w:marLeft w:val="0"/>
                                                                          <w:marRight w:val="0"/>
                                                                          <w:marTop w:val="0"/>
                                                                          <w:marBottom w:val="0"/>
                                                                          <w:divBdr>
                                                                            <w:top w:val="none" w:sz="0" w:space="0" w:color="auto"/>
                                                                            <w:left w:val="none" w:sz="0" w:space="0" w:color="auto"/>
                                                                            <w:bottom w:val="none" w:sz="0" w:space="0" w:color="auto"/>
                                                                            <w:right w:val="none" w:sz="0" w:space="0" w:color="auto"/>
                                                                          </w:divBdr>
                                                                          <w:divsChild>
                                                                            <w:div w:id="14719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no"?>
<Relationships xmlns="http://schemas.openxmlformats.org/package/2006/relationships">
<Relationship Id="rId10" Target="endnotes.xml" Type="http://schemas.openxmlformats.org/officeDocument/2006/relationships/endnotes"/>
<Relationship Id="rId11" Target="footer1.xml" Type="http://schemas.openxmlformats.org/officeDocument/2006/relationships/footer"/>
<Relationship Id="rId12" Target="fontTable.xml" Type="http://schemas.openxmlformats.org/officeDocument/2006/relationships/fontTable"/>
<Relationship Id="rId13" Target="glossary/document.xml" Type="http://schemas.openxmlformats.org/officeDocument/2006/relationships/glossaryDocument"/>
<Relationship Id="rId14"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014AFEF7-68E9-46CE-AC1C-B4D1A64CD6C1}"/>
      </w:docPartPr>
      <w:docPartBody>
        <w:p w:rsidR="0086624D" w:rsidRDefault="0086624D">
          <w:r w:rsidRPr="00F66870">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B047B836-40FD-40DB-9010-C1D76060A916}"/>
      </w:docPartPr>
      <w:docPartBody>
        <w:p w:rsidR="003F13F7" w:rsidRDefault="008F7A1F">
          <w:r w:rsidRPr="00DF3A46">
            <w:rPr>
              <w:rStyle w:val="a3"/>
              <w:rFonts w:hint="eastAsia"/>
              <w:u w:val="single"/>
              <w:color w:val="33339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4D"/>
    <w:rsid w:val="00005A77"/>
    <w:rsid w:val="00061C90"/>
    <w:rsid w:val="00093A57"/>
    <w:rsid w:val="00110B4B"/>
    <w:rsid w:val="00134B8C"/>
    <w:rsid w:val="00145083"/>
    <w:rsid w:val="001450A7"/>
    <w:rsid w:val="00151689"/>
    <w:rsid w:val="00154319"/>
    <w:rsid w:val="00163B51"/>
    <w:rsid w:val="00187DB7"/>
    <w:rsid w:val="001C2E99"/>
    <w:rsid w:val="001E68BF"/>
    <w:rsid w:val="001E7F61"/>
    <w:rsid w:val="00224C94"/>
    <w:rsid w:val="002264CB"/>
    <w:rsid w:val="00257E6E"/>
    <w:rsid w:val="00262999"/>
    <w:rsid w:val="00265A0A"/>
    <w:rsid w:val="00280579"/>
    <w:rsid w:val="002808B9"/>
    <w:rsid w:val="0029529C"/>
    <w:rsid w:val="002A3A71"/>
    <w:rsid w:val="002B12AF"/>
    <w:rsid w:val="002B47C2"/>
    <w:rsid w:val="00321F03"/>
    <w:rsid w:val="00363484"/>
    <w:rsid w:val="0036401A"/>
    <w:rsid w:val="003A4098"/>
    <w:rsid w:val="003C752A"/>
    <w:rsid w:val="003D1D4E"/>
    <w:rsid w:val="003F13F7"/>
    <w:rsid w:val="0040256B"/>
    <w:rsid w:val="00415B51"/>
    <w:rsid w:val="00417F60"/>
    <w:rsid w:val="004873B2"/>
    <w:rsid w:val="00494745"/>
    <w:rsid w:val="004B5979"/>
    <w:rsid w:val="005332E1"/>
    <w:rsid w:val="00547C8B"/>
    <w:rsid w:val="005500B2"/>
    <w:rsid w:val="005B7994"/>
    <w:rsid w:val="005C6496"/>
    <w:rsid w:val="005F66D7"/>
    <w:rsid w:val="005F6CEB"/>
    <w:rsid w:val="0062479D"/>
    <w:rsid w:val="006349D7"/>
    <w:rsid w:val="00637CCB"/>
    <w:rsid w:val="00646C0E"/>
    <w:rsid w:val="00653318"/>
    <w:rsid w:val="00657DD3"/>
    <w:rsid w:val="00675D3F"/>
    <w:rsid w:val="00686E4D"/>
    <w:rsid w:val="006B5619"/>
    <w:rsid w:val="006C165B"/>
    <w:rsid w:val="006C2578"/>
    <w:rsid w:val="006C3700"/>
    <w:rsid w:val="006F3E1C"/>
    <w:rsid w:val="00707B80"/>
    <w:rsid w:val="00714181"/>
    <w:rsid w:val="00761693"/>
    <w:rsid w:val="00782E27"/>
    <w:rsid w:val="00791E37"/>
    <w:rsid w:val="007B3367"/>
    <w:rsid w:val="00823299"/>
    <w:rsid w:val="00846EBC"/>
    <w:rsid w:val="00857EA2"/>
    <w:rsid w:val="0086624D"/>
    <w:rsid w:val="008953D2"/>
    <w:rsid w:val="008A1A39"/>
    <w:rsid w:val="008D765B"/>
    <w:rsid w:val="008F7A1F"/>
    <w:rsid w:val="0093109F"/>
    <w:rsid w:val="00936A52"/>
    <w:rsid w:val="00936DCC"/>
    <w:rsid w:val="00A20F85"/>
    <w:rsid w:val="00A37B19"/>
    <w:rsid w:val="00A40CD1"/>
    <w:rsid w:val="00A83746"/>
    <w:rsid w:val="00AA27B9"/>
    <w:rsid w:val="00AD4AB3"/>
    <w:rsid w:val="00AE2011"/>
    <w:rsid w:val="00AE3B47"/>
    <w:rsid w:val="00B37C09"/>
    <w:rsid w:val="00B51F38"/>
    <w:rsid w:val="00B7127B"/>
    <w:rsid w:val="00B835E4"/>
    <w:rsid w:val="00B8511E"/>
    <w:rsid w:val="00B90685"/>
    <w:rsid w:val="00BA2413"/>
    <w:rsid w:val="00BB3219"/>
    <w:rsid w:val="00BD4A8A"/>
    <w:rsid w:val="00BD4C2D"/>
    <w:rsid w:val="00BE714D"/>
    <w:rsid w:val="00C20348"/>
    <w:rsid w:val="00C27C70"/>
    <w:rsid w:val="00C40265"/>
    <w:rsid w:val="00C6330E"/>
    <w:rsid w:val="00C87F03"/>
    <w:rsid w:val="00CA43EE"/>
    <w:rsid w:val="00CC4275"/>
    <w:rsid w:val="00CE16B3"/>
    <w:rsid w:val="00D05DA7"/>
    <w:rsid w:val="00DA596F"/>
    <w:rsid w:val="00DF36EF"/>
    <w:rsid w:val="00E11DF9"/>
    <w:rsid w:val="00E16ED3"/>
    <w:rsid w:val="00E30B1D"/>
    <w:rsid w:val="00E4602A"/>
    <w:rsid w:val="00E657F6"/>
    <w:rsid w:val="00EB1765"/>
    <w:rsid w:val="00EC08FE"/>
    <w:rsid w:val="00EC72C1"/>
    <w:rsid w:val="00F3189C"/>
    <w:rsid w:val="00F42A59"/>
    <w:rsid w:val="00F442C7"/>
    <w:rsid w:val="00F77134"/>
    <w:rsid w:val="00FA2BDD"/>
    <w:rsid w:val="00FC7C3C"/>
    <w:rsid w:val="00FE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AE201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4.xml><?xml version="1.0" encoding="utf-8"?>
<b:Sources xmlns:b="http://schemas.openxmlformats.org/officeDocument/2006/bibliography" xmlns="http://schemas.openxmlformats.org/officeDocument/2006/bibliography" SelectedStyle="\APA.XSL" StyleName="APA"/>
</file>

<file path=customXml/itemProps4.xml><?xml version="1.0" encoding="utf-8"?>
<ds:datastoreItem xmlns:ds="http://schemas.openxmlformats.org/officeDocument/2006/customXml" ds:itemID="{20CBC166-9D35-45DB-B281-1CAF0012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10</Pages>
  <Words>5138</Words>
  <Characters>2481</Characters>
  <Application>Microsoft Office Word</Application>
  <DocSecurity>0</DocSecurity>
  <PresentationFormat/>
  <Lines>20</Lines>
  <Paragraphs>15</Paragraphs>
  <Slides>0</Slides>
  <Notes>0</Notes>
  <HiddenSlides>0</HiddenSlides>
  <MMClips>0</MMClips>
  <ScaleCrop>false</ScaleCrop>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creator>wfy</dc:creator>
  <cp:lastModifiedBy>User</cp:lastModifiedBy>
  <cp:revision>200</cp:revision>
  <dc:title>证券投资基金信息披露报表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